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firstLine="224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sdt>
        <w:sdtPr>
          <w:alias w:val="1"/>
          <w15:appearance w15:val="boundingBox"/>
          <w:id w:val="1"/>
          <w:lock w:val="sdtContentLocked"/>
          <w:tag w:val="项目名称"/>
          <w:rPr>
            <w:rFonts w:ascii="宋体" w:hAnsi="宋体" w:cs="宋体"/>
            <w:b/>
            <w:color w:val="000000"/>
            <w:sz w:val="32"/>
          </w:rPr>
        </w:sdtPr>
        <w:sdtContent>
          <w:r>
            <w:rPr>
              <w:rFonts w:ascii="经典仿宋简" w:hAnsi="经典仿宋简" w:eastAsia="经典仿宋简" w:cs="经典仿宋简"/>
              <w:sz w:val="22"/>
            </w:rPr>
            <w:t xml:space="preserve">常州市住房公积金管理中心2025年度智慧公积金软件专项运维服务项目</w:t>
          </w:r>
        </w:sdtContent>
      </w:sdt>
      <w:r/>
      <w:r/>
    </w:p>
    <w:p>
      <w:pPr>
        <w:ind w:left="2100" w:firstLine="161"/>
        <w:pBdr>
          <w:top w:val="none" w:color="000000" w:sz="0" w:space="0"/>
          <w:left w:val="none" w:color="000000" w:sz="0" w:space="0"/>
          <w:bottom w:val="none" w:color="000000" w:sz="0" w:space="0"/>
          <w:right w:val="none" w:color="000000" w:sz="0" w:space="0"/>
        </w:pBdr>
      </w:pPr>
      <w:r>
        <w:rPr>
          <w:rFonts w:ascii="宋体" w:hAnsi="宋体" w:cs="宋体"/>
          <w:b/>
          <w:color w:val="ff0000"/>
          <w:sz w:val="32"/>
        </w:rPr>
        <w:t xml:space="preserve">项目编号：</w:t>
      </w:r>
      <w:r>
        <w:rPr>
          <w:rFonts w:eastAsia="Times New Roman"/>
          <w:color w:val="ff0000"/>
        </w:rPr>
        <w:t xml:space="preserve"> </w:t>
      </w:r>
      <w:sdt>
        <w:sdtPr>
          <w:alias w:val="2"/>
          <w15:appearance w15:val="boundingBox"/>
          <w:id w:val="2"/>
          <w:lock w:val="sdtContentLocked"/>
          <w:tag w:val="项目编号"/>
          <w:rPr>
            <w:rFonts w:eastAsia="Times New Roman"/>
            <w:color w:val="ff0000"/>
          </w:rPr>
        </w:sdtPr>
        <w:sdtContent>
          <w:r>
            <w:rPr>
              <w:rFonts w:ascii="经典仿宋简" w:hAnsi="经典仿宋简" w:eastAsia="经典仿宋简" w:cs="经典仿宋简"/>
              <w:sz w:val="22"/>
            </w:rPr>
            <w:t xml:space="preserve">JSZC-320400-JZCG-G2025-0426</w:t>
          </w:r>
        </w:sdtContent>
      </w:sdt>
      <w:r>
        <w:rPr>
          <w:rFonts w:eastAsia="Times New Roman"/>
          <w:color w:val="ff0000"/>
        </w:rPr>
        <w:t xml:space="preserve">  </w:t>
      </w:r>
      <w:r>
        <w:rPr>
          <w:rFonts w:eastAsia="Times New Roman"/>
          <w:b/>
          <w:color w:val="ff0000"/>
          <w:sz w:val="30"/>
        </w:rPr>
        <w:t xml:space="preserve">   </w:t>
      </w:r>
      <w:r>
        <w:rPr>
          <w:rFonts w:eastAsia="Times New Roman"/>
          <w:color w:val="ff0000"/>
        </w:rPr>
        <w:t xml:space="preserve">  </w:t>
      </w:r>
      <w:r>
        <w:rPr>
          <w:rFonts w:eastAsia="Times New Roman"/>
          <w:b/>
          <w:color w:val="ff0000"/>
          <w:sz w:val="30"/>
        </w:rPr>
        <w:t xml:space="preserve"> </w:t>
      </w:r>
      <w:r/>
    </w:p>
    <w:p>
      <w:pPr>
        <w:ind w:left="2100"/>
        <w:pBdr>
          <w:top w:val="none" w:color="000000" w:sz="0" w:space="0"/>
          <w:left w:val="none" w:color="000000" w:sz="0" w:space="0"/>
          <w:bottom w:val="none" w:color="000000" w:sz="0" w:space="0"/>
          <w:right w:val="none" w:color="000000" w:sz="0" w:space="0"/>
        </w:pBdr>
      </w:pPr>
      <w:r>
        <w:rPr>
          <w:rFonts w:ascii="宋体" w:hAnsi="宋体" w:cs="宋体"/>
          <w:b/>
          <w:color w:val="ff0000"/>
          <w:sz w:val="30"/>
        </w:rPr>
        <w:t xml:space="preserve">（全流程电子化</w:t>
      </w:r>
      <w:r>
        <w:rPr>
          <w:rFonts w:eastAsia="Times New Roman"/>
          <w:b/>
          <w:color w:val="ff0000"/>
          <w:sz w:val="30"/>
        </w:rPr>
        <w:t xml:space="preserve">-</w:t>
      </w:r>
      <w:r>
        <w:rPr>
          <w:rFonts w:ascii="宋体" w:hAnsi="宋体" w:cs="宋体"/>
          <w:b/>
          <w:color w:val="ff0000"/>
          <w:sz w:val="30"/>
        </w:rPr>
        <w:t xml:space="preserve">服务类项目，适用苏采云系统，专门面向中小企业）</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常州市政府采购中心</w:t>
      </w:r>
      <w:r/>
    </w:p>
    <w:p>
      <w:pPr>
        <w:jc w:val="center"/>
        <w:spacing w:before="120" w:after="120" w:line="360" w:lineRule="atLeast"/>
        <w:pBdr>
          <w:top w:val="none" w:color="000000" w:sz="0" w:space="0"/>
          <w:left w:val="none" w:color="000000" w:sz="0" w:space="0"/>
          <w:bottom w:val="none" w:color="000000" w:sz="0" w:space="0"/>
          <w:right w:val="none" w:color="000000" w:sz="0" w:space="0"/>
        </w:pBdr>
      </w:pPr>
      <w:r/>
      <w:sdt>
        <w:sdtPr>
          <w:alias w:val="3"/>
          <w15:appearance w15:val="boundingBox"/>
          <w:id w:val="3"/>
          <w:lock w:val="unlocked"/>
          <w:tag w:val="系统当前时间"/>
          <w:rPr>
            <w:rFonts w:ascii="宋体" w:hAnsi="宋体" w:cs="宋体"/>
            <w:color w:val="000000"/>
            <w:sz w:val="24"/>
          </w:rPr>
        </w:sdtPr>
        <w:sdtContent>
          <w:r>
            <w:rPr>
              <w:rFonts w:ascii="经典仿宋简" w:hAnsi="经典仿宋简" w:eastAsia="经典仿宋简" w:cs="经典仿宋简"/>
              <w:sz w:val="22"/>
            </w:rPr>
            <w:t xml:space="preserve">2025年10月28日</w:t>
          </w:r>
        </w:sdtContent>
      </w:sdt>
      <w:r>
        <w:rPr>
          <w:rFonts w:ascii="宋体" w:hAnsi="宋体" w:cs="宋体"/>
          <w:color w:val="000000"/>
          <w:sz w:val="24"/>
        </w:rPr>
        <w:t xml:space="preserve"> </w:t>
      </w:r>
      <w:r/>
    </w:p>
    <w:p>
      <w:pP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黑体" w:hAnsi="黑体" w:eastAsia="黑体" w:cs="黑体"/>
          <w:b/>
          <w:color w:val="000000"/>
          <w:sz w:val="44"/>
        </w:rPr>
        <w:t xml:space="preserve">总</w:t>
      </w:r>
      <w:r>
        <w:rPr>
          <w:rFonts w:ascii="Calibri" w:hAnsi="Calibri" w:eastAsia="Calibri" w:cs="Calibri"/>
          <w:b/>
          <w:color w:val="000000"/>
          <w:sz w:val="44"/>
        </w:rPr>
        <w:t xml:space="preserve"> </w:t>
      </w:r>
      <w:r>
        <w:rPr>
          <w:rFonts w:ascii="黑体" w:hAnsi="黑体" w:eastAsia="黑体" w:cs="黑体"/>
          <w:b/>
          <w:color w:val="000000"/>
          <w:sz w:val="44"/>
        </w:rPr>
        <w:t xml:space="preserve"> 目</w:t>
      </w:r>
      <w:r>
        <w:rPr>
          <w:rFonts w:ascii="Calibri" w:hAnsi="Calibri" w:eastAsia="Calibri" w:cs="Calibri"/>
          <w:b/>
          <w:color w:val="000000"/>
          <w:sz w:val="44"/>
        </w:rPr>
        <w:t xml:space="preserve"> </w:t>
      </w:r>
      <w:r>
        <w:rPr>
          <w:rFonts w:ascii="黑体" w:hAnsi="黑体" w:eastAsia="黑体" w:cs="黑体"/>
          <w:b/>
          <w:color w:val="000000"/>
          <w:sz w:val="44"/>
        </w:rPr>
        <w:t xml:space="preserve"> 录</w:t>
      </w:r>
      <w:r/>
    </w:p>
    <w:p>
      <w:p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 </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 </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ascii="Calibri" w:hAnsi="Calibri" w:eastAsia="Calibri" w:cs="Calibri"/>
          <w:color w:val="000000"/>
          <w:sz w:val="36"/>
        </w:rPr>
        <w:t xml:space="preserve"> </w:t>
      </w:r>
      <w:r>
        <w:rPr>
          <w:rFonts w:ascii="黑体" w:hAnsi="黑体" w:eastAsia="黑体" w:cs="黑体"/>
          <w:color w:val="000000"/>
          <w:sz w:val="36"/>
        </w:rPr>
        <w:t xml:space="preserve"> </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第一章</w:t>
      </w:r>
      <w:r>
        <w:rPr>
          <w:rFonts w:ascii="Calibri" w:hAnsi="Calibri" w:eastAsia="Calibri" w:cs="Calibri"/>
          <w:b/>
          <w:color w:val="000000"/>
          <w:sz w:val="44"/>
        </w:rPr>
        <w:t xml:space="preserve"> </w:t>
      </w:r>
      <w:r>
        <w:rPr>
          <w:rFonts w:ascii="黑体" w:hAnsi="黑体" w:eastAsia="黑体" w:cs="黑体"/>
          <w:b/>
          <w:color w:val="000000"/>
          <w:sz w:val="44"/>
        </w:rPr>
        <w:t xml:space="preserve"> 投标邀请</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sdt>
        <w:sdtPr>
          <w:alias w:val="4"/>
          <w15:appearance w15:val="boundingBox"/>
          <w:id w:val="4"/>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常州市住房公积金管理中心</w:t>
          </w:r>
        </w:sdtContent>
      </w:sdt>
      <w:r>
        <w:rPr>
          <w:rFonts w:ascii="宋体" w:hAnsi="宋体" w:cs="宋体"/>
          <w:color w:val="000000"/>
          <w:sz w:val="24"/>
        </w:rPr>
        <w:t xml:space="preserve">的委托，常州市政府采购中心就[</w:t>
      </w:r>
      <w:sdt>
        <w:sdtPr>
          <w:alias w:val="5"/>
          <w15:appearance w15:val="boundingBox"/>
          <w:id w:val="5"/>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常州市住房公积金管理中心2025年度智慧公积金软件专项运维服务项目</w:t>
          </w:r>
        </w:sdtContent>
      </w:sdt>
      <w:r>
        <w:rPr>
          <w:rFonts w:ascii="宋体" w:hAnsi="宋体" w:cs="宋体"/>
          <w:color w:val="000000"/>
          <w:sz w:val="24"/>
        </w:rPr>
        <w:t xml:space="preserve">][</w:t>
      </w:r>
      <w:sdt>
        <w:sdtPr>
          <w:alias w:val="6"/>
          <w15:appearance w15:val="boundingBox"/>
          <w:id w:val="6"/>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JSZC-320400-JZCG-G2025-0426</w:t>
          </w:r>
        </w:sdtContent>
      </w:sdt>
      <w:r>
        <w:rPr>
          <w:rFonts w:ascii="宋体" w:hAnsi="宋体" w:cs="宋体"/>
          <w:color w:val="000000"/>
          <w:sz w:val="24"/>
        </w:rPr>
        <w:t xml:space="preserve">]项目进行公开招标采购，欢迎符合条件的供应商投标。</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sdt>
        <w:sdtPr>
          <w:alias w:val="7"/>
          <w15:appearance w15:val="boundingBox"/>
          <w:id w:val="7"/>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JSZC-320400-JZCG-G2025-0426</w:t>
          </w:r>
        </w:sdtContent>
      </w:sd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sdt>
        <w:sdtPr>
          <w:alias w:val="8"/>
          <w15:appearance w15:val="boundingBox"/>
          <w:id w:val="8"/>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常州市住房公积金管理中心2025年度智慧公积金软件专项运维服务项目</w:t>
          </w:r>
        </w:sdtContent>
      </w:sd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sdt>
        <w:sdtPr>
          <w:alias w:val="9"/>
          <w15:appearance w15:val="boundingBox"/>
          <w:id w:val="9"/>
          <w:lock w:val="sdtContentLocked"/>
          <w:tag w:val="采购预算"/>
          <w:rPr>
            <w:rFonts w:ascii="宋体" w:hAnsi="宋体" w:cs="宋体"/>
            <w:color w:val="000000"/>
            <w:sz w:val="24"/>
          </w:rPr>
        </w:sdtPr>
        <w:sdtContent>
          <w:r>
            <w:rPr>
              <w:rFonts w:ascii="经典仿宋简" w:hAnsi="经典仿宋简" w:eastAsia="经典仿宋简" w:cs="经典仿宋简"/>
              <w:sz w:val="22"/>
            </w:rPr>
            <w:t xml:space="preserve">2100000</w:t>
          </w:r>
        </w:sdtContent>
      </w:sdt>
      <w:r>
        <w:rPr>
          <w:rFonts w:ascii="宋体" w:hAnsi="宋体" w:cs="宋体"/>
          <w:color w:val="000000"/>
          <w:sz w:val="24"/>
          <w:highlight w:val="yellow"/>
        </w:rPr>
        <w:t xml:space="preserve">元</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4.本项目最高限价为</w:t>
      </w:r>
      <w:r>
        <w:rPr>
          <w:rFonts w:hint="eastAsia" w:ascii="宋体" w:hAnsi="宋体" w:cs="宋体"/>
          <w:color w:val="000000"/>
          <w:sz w:val="24"/>
        </w:rPr>
        <w:t xml:space="preserve">210</w:t>
      </w:r>
      <w:r>
        <w:rPr>
          <w:rFonts w:ascii="宋体" w:hAnsi="宋体" w:cs="宋体"/>
          <w:color w:val="000000"/>
          <w:sz w:val="24"/>
        </w:rPr>
        <w:t xml:space="preserve">万元。</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w:t>
      </w:r>
      <w:r>
        <w:rPr>
          <w:rFonts w:hint="eastAsia" w:ascii="宋体" w:hAnsi="宋体"/>
          <w:bCs/>
          <w:sz w:val="24"/>
        </w:rPr>
        <w:t xml:space="preserve">为保障常州市住房公积金综合办公平台、数据库系统软件、以及线上渠道业务稳定运行，提供2025年度智慧公积金应用软件专项运维服务</w:t>
      </w:r>
      <w:r>
        <w:rPr>
          <w:rFonts w:ascii="宋体" w:hAnsi="宋体"/>
          <w:bCs/>
          <w:sz w:val="24"/>
        </w:rPr>
        <w:t xml:space="preserve">。</w:t>
      </w:r>
      <w:r>
        <w:rPr>
          <w:rFonts w:hint="eastAsia" w:ascii="宋体" w:hAnsi="宋体"/>
          <w:sz w:val="24"/>
          <w:szCs w:val="24"/>
        </w:rPr>
        <w:t xml:space="preserve">采购服务内容包括但不限：</w:t>
      </w:r>
      <w:r>
        <w:rPr>
          <w:rFonts w:hint="eastAsia" w:ascii="宋体" w:hAnsi="宋体" w:cs="仿宋"/>
          <w:sz w:val="24"/>
        </w:rPr>
        <w:t xml:space="preserve">个人住房贷款“一件事”、企业迁移登记“一件事”、社会保障卡居民服务“一件事”、住房公积金个人事项“亮码可办”、网络化管理系统改版、智慧公积金数字经办人、柜外肩并肩主动服务、模拟演示系统、会计档案电子化、风险防控等软件开发维护工作</w:t>
      </w:r>
      <w:r>
        <w:rPr>
          <w:rFonts w:hint="eastAsia" w:ascii="宋体" w:hAnsi="宋体"/>
          <w:bCs/>
          <w:color w:val="000000"/>
          <w:sz w:val="24"/>
        </w:rPr>
        <w:t xml:space="preserve">。</w:t>
      </w:r>
      <w:r>
        <w:rPr>
          <w:rFonts w:ascii="宋体" w:hAnsi="宋体" w:cs="宋体"/>
          <w:color w:val="000000"/>
          <w:sz w:val="24"/>
        </w:rPr>
        <w:t xml:space="preserve">（详细内容见本招标文件第四章）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仿宋"/>
          <w:color w:val="000000"/>
          <w:sz w:val="24"/>
        </w:rPr>
        <w:t xml:space="preserve">自合同签订生效之日起12个月内。</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1.满足《中华人民共和国政府采购法》第二十二条规定，并提供投标人资格声明函。</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color w:val="000000"/>
          <w:sz w:val="24"/>
        </w:rPr>
        <w:t xml:space="preserve">专门面向中小企业采购。</w:t>
      </w:r>
      <w:r>
        <w:rPr>
          <w:rFonts w:ascii="宋体" w:hAnsi="宋体" w:cs="宋体"/>
          <w:color w:val="000000"/>
          <w:sz w:val="24"/>
        </w:rPr>
        <w:t xml:space="preserve">即：提供的服务全部由符合政策要求的中小企业承接。说明：中小企业包含中型、小型、微型企业，残疾人福利性单位和监狱企业视同小微企业。</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rPr>
          <w:rFonts w:hint="eastAsia" w:ascii="宋体" w:hAnsi="宋体" w:cs="宋体"/>
          <w:color w:val="000000"/>
          <w:sz w:val="24"/>
        </w:rPr>
        <w:t xml:space="preserve">不接受</w:t>
      </w:r>
      <w:r>
        <w:rPr>
          <w:rFonts w:ascii="宋体" w:hAnsi="宋体" w:cs="宋体"/>
          <w:color w:val="000000"/>
          <w:sz w:val="24"/>
        </w:rPr>
        <w:t xml:space="preserve">联合体投标</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p>
      <w:pPr>
        <w:ind w:firstLine="48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1.时间：详见招标文件公告。</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2.方式：在“江苏政府采购网”、“常州市政府采购网”自行免费下载招标文件。</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四、投标文件提交</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1.时间：详见招标公告。</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2.地点：苏采云政府采购一体化平台</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招标公告及招标文件公告期限为自本公告发布之日起5个工作日。</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sdt>
        <w:sdtPr>
          <w:alias w:val="12"/>
          <w15:appearance w15:val="boundingBox"/>
          <w:id w:val="12"/>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常州市住房公积金管理中心</w:t>
          </w:r>
        </w:sdtContent>
      </w:sd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sdt>
        <w:sdtPr>
          <w:alias w:val="13"/>
          <w15:appearance w15:val="boundingBox"/>
          <w:id w:val="13"/>
          <w:lock w:val="sdtContentLocked"/>
          <w:tag w:val="采购单位地址"/>
          <w:rPr>
            <w:rFonts w:ascii="宋体" w:hAnsi="宋体" w:cs="宋体"/>
            <w:color w:val="000000"/>
            <w:sz w:val="24"/>
          </w:rPr>
        </w:sdtPr>
        <w:sdtContent>
          <w:r>
            <w:rPr>
              <w:rFonts w:ascii="经典仿宋简" w:hAnsi="经典仿宋简" w:eastAsia="经典仿宋简" w:cs="经典仿宋简"/>
              <w:sz w:val="22"/>
            </w:rPr>
            <w:t xml:space="preserve">常州市天宁区锦绣路2号</w:t>
          </w:r>
        </w:sdtContent>
      </w:sd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sdt>
        <w:sdtPr>
          <w:alias w:val="18"/>
          <w15:appearance w15:val="boundingBox"/>
          <w:id w:val="18"/>
          <w:lock w:val="sdtContentLocked"/>
          <w:tag w:val="采购人联系人"/>
          <w:rPr>
            <w:rFonts w:ascii="宋体" w:hAnsi="宋体" w:cs="宋体"/>
            <w:color w:val="000000"/>
            <w:sz w:val="24"/>
          </w:rPr>
        </w:sdtPr>
        <w:sdtContent>
          <w:r>
            <w:rPr>
              <w:rFonts w:ascii="经典仿宋简" w:hAnsi="经典仿宋简" w:eastAsia="经典仿宋简" w:cs="经典仿宋简"/>
              <w:sz w:val="22"/>
            </w:rPr>
            <w:t xml:space="preserve">何刚</w:t>
          </w:r>
        </w:sdtContent>
      </w:sd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sdt>
        <w:sdtPr>
          <w:alias w:val="19"/>
          <w15:appearance w15:val="boundingBox"/>
          <w:id w:val="19"/>
          <w:lock w:val="sdtContentLocked"/>
          <w:tag w:val="采购人联系电话"/>
          <w:rPr>
            <w:rFonts w:ascii="宋体" w:hAnsi="宋体" w:cs="宋体"/>
            <w:color w:val="000000"/>
            <w:sz w:val="24"/>
          </w:rPr>
        </w:sdtPr>
        <w:sdtContent>
          <w:r>
            <w:rPr>
              <w:rFonts w:ascii="经典仿宋简" w:hAnsi="经典仿宋简" w:eastAsia="经典仿宋简" w:cs="经典仿宋简"/>
              <w:sz w:val="22"/>
            </w:rPr>
            <w:t xml:space="preserve">采购包1联系人电话:85588711</w:t>
          </w:r>
        </w:sdtContent>
      </w:sd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 </w:t>
      </w:r>
      <w:sdt>
        <w:sdtPr>
          <w:alias w:val="16"/>
          <w15:appearance w15:val="boundingBox"/>
          <w:id w:val="16"/>
          <w:lock w:val="sdtContentLocked"/>
          <w:tag w:val="项目联系人"/>
          <w:rPr>
            <w:rFonts w:ascii="宋体" w:hAnsi="宋体" w:cs="宋体"/>
            <w:color w:val="000000"/>
            <w:sz w:val="24"/>
          </w:rPr>
        </w:sdtPr>
        <w:sdtContent>
          <w:r>
            <w:rPr>
              <w:rFonts w:ascii="经典仿宋简" w:hAnsi="经典仿宋简" w:eastAsia="经典仿宋简" w:cs="经典仿宋简"/>
              <w:sz w:val="22"/>
            </w:rPr>
            <w:t xml:space="preserve">马樱</w:t>
          </w:r>
        </w:sdtContent>
      </w:sdt>
      <w:r>
        <w:rPr>
          <w:rFonts w:ascii="宋体" w:hAnsi="宋体" w:cs="宋体"/>
          <w:color w:val="000000"/>
          <w:sz w:val="24"/>
        </w:rPr>
        <w:t xml:space="preserve">              </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sdt>
        <w:sdtPr>
          <w:alias w:val="17"/>
          <w15:appearance w15:val="boundingBox"/>
          <w:id w:val="17"/>
          <w:lock w:val="sdtContentLocked"/>
          <w:tag w:val="代理机构经办人联系电话"/>
          <w:rPr>
            <w:rFonts w:ascii="宋体" w:hAnsi="宋体" w:cs="宋体"/>
            <w:color w:val="000000"/>
            <w:sz w:val="24"/>
          </w:rPr>
        </w:sdtPr>
        <w:sdtContent>
          <w:r>
            <w:rPr>
              <w:rFonts w:ascii="经典仿宋简" w:hAnsi="经典仿宋简" w:eastAsia="经典仿宋简" w:cs="经典仿宋简"/>
              <w:sz w:val="22"/>
            </w:rPr>
            <w:t xml:space="preserve">0519-85588166</w:t>
          </w:r>
        </w:sdtContent>
      </w:sd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1. 根据省财政厅《关于更</w:t>
      </w:r>
      <w:r>
        <w:rPr>
          <w:rFonts w:ascii="宋体" w:hAnsi="宋体" w:cs="宋体"/>
          <w:color w:val="ff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有关本次招标的事项若存在变动或修改，敬请及时关注常州市政府采购中心在“江苏政府采购网” 、“常州市政府采购网”发布的更正公告。</w:t>
      </w:r>
      <w:r/>
    </w:p>
    <w:p>
      <w:pPr>
        <w:ind w:firstLine="480"/>
        <w:spacing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29"/>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w:t>
      </w:r>
      <w:r>
        <w:rPr>
          <w:rFonts w:ascii="Calibri" w:hAnsi="Calibri" w:eastAsia="Calibri" w:cs="Calibri"/>
          <w:b/>
          <w:color w:val="000000"/>
          <w:sz w:val="44"/>
        </w:rPr>
        <w:t xml:space="preserve"> </w:t>
      </w:r>
      <w:r>
        <w:rPr>
          <w:rFonts w:ascii="黑体" w:hAnsi="黑体" w:eastAsia="黑体" w:cs="黑体"/>
          <w:b/>
          <w:color w:val="000000"/>
          <w:sz w:val="44"/>
        </w:rPr>
        <w:t xml:space="preserve"> 投标人须知</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w:t>
      </w:r>
      <w:r>
        <w:rPr>
          <w:rFonts w:ascii="黑体" w:hAnsi="黑体" w:eastAsia="黑体" w:cs="黑体"/>
          <w:b/>
          <w:color w:val="000000"/>
          <w:sz w:val="28"/>
        </w:rPr>
        <w:t xml:space="preserve">、招标方式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w:t>
      </w:r>
      <w:r>
        <w:rPr>
          <w:rFonts w:ascii="黑体" w:hAnsi="黑体" w:eastAsia="黑体" w:cs="黑体"/>
          <w:b/>
          <w:color w:val="000000"/>
          <w:sz w:val="28"/>
        </w:rPr>
        <w:t xml:space="preserve">、合格的投标人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3</w:t>
      </w:r>
      <w:r>
        <w:rPr>
          <w:rFonts w:ascii="黑体" w:hAnsi="黑体" w:eastAsia="黑体" w:cs="黑体"/>
          <w:b/>
          <w:color w:val="000000"/>
          <w:sz w:val="28"/>
        </w:rPr>
        <w:t xml:space="preserve">、适用法律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4</w:t>
      </w:r>
      <w:r>
        <w:rPr>
          <w:rFonts w:ascii="黑体" w:hAnsi="黑体" w:eastAsia="黑体" w:cs="黑体"/>
          <w:b/>
          <w:color w:val="000000"/>
          <w:sz w:val="28"/>
        </w:rPr>
        <w:t xml:space="preserve">、投标费用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投标人应自行承担所有与参加投标有关的费用，无论投标过程中的做法和结果如何，常州市政府采购中心（以下简称采购中心）在任何情况下均无义务和责任承担这些费用。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4.2本次招标采购中心和采购人不收取标书工本费与中标服务费。</w:t>
      </w:r>
      <w:r/>
    </w:p>
    <w:p>
      <w:pPr>
        <w:ind w:firstLine="60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5</w:t>
      </w:r>
      <w:r>
        <w:rPr>
          <w:rFonts w:ascii="黑体" w:hAnsi="黑体" w:eastAsia="黑体" w:cs="黑体"/>
          <w:b/>
          <w:color w:val="000000"/>
          <w:sz w:val="30"/>
        </w:rPr>
        <w:t xml:space="preserve">、</w:t>
      </w:r>
      <w:r>
        <w:rPr>
          <w:rFonts w:ascii="黑体" w:hAnsi="黑体" w:eastAsia="黑体" w:cs="黑体"/>
          <w:b/>
          <w:color w:val="000000"/>
          <w:sz w:val="28"/>
        </w:rPr>
        <w:t xml:space="preserve">招标文件的约束力</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6</w:t>
      </w:r>
      <w:r>
        <w:rPr>
          <w:rFonts w:ascii="黑体" w:hAnsi="黑体" w:eastAsia="黑体" w:cs="黑体"/>
          <w:b/>
          <w:color w:val="000000"/>
          <w:sz w:val="28"/>
        </w:rPr>
        <w:t xml:space="preserve">、招标文件构成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请仔细检查招标文件是否齐全，如有缺漏请立即与采购中心联系解决。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7</w:t>
      </w:r>
      <w:r>
        <w:rPr>
          <w:rFonts w:ascii="黑体" w:hAnsi="黑体" w:eastAsia="黑体" w:cs="黑体"/>
          <w:b/>
          <w:color w:val="000000"/>
          <w:sz w:val="28"/>
        </w:rPr>
        <w:t xml:space="preserve">、招标文件的澄清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前按招标公告中的通讯地址，以书面形式通知采购中心。</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8</w:t>
      </w:r>
      <w:r>
        <w:rPr>
          <w:rFonts w:ascii="黑体" w:hAnsi="黑体" w:eastAsia="黑体" w:cs="黑体"/>
          <w:b/>
          <w:color w:val="000000"/>
          <w:sz w:val="28"/>
        </w:rPr>
        <w:t xml:space="preserve">、招标文件的修改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在投标截止时间前，采购中心可以对招标文件进行修改。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采购中心有权按照法定的要求推迟投标截止日期和开标日期。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招标文件的修改将在江苏政府采购网、常州市政府采购网公布，补充文件将作为招标文件的组成部分，并对投标人具有约束力。</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9</w:t>
      </w:r>
      <w:r>
        <w:rPr>
          <w:rFonts w:ascii="黑体" w:hAnsi="黑体" w:eastAsia="黑体" w:cs="黑体"/>
          <w:b/>
          <w:color w:val="000000"/>
          <w:sz w:val="28"/>
        </w:rPr>
        <w:t xml:space="preserve">、投标文件的语言及度量衡单位</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投标人提交的投标文件以及投标人与采购中心就有关投标的所有来往通知、函件和文件均应使用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10</w:t>
      </w:r>
      <w:r>
        <w:rPr>
          <w:rFonts w:ascii="黑体" w:hAnsi="黑体" w:eastAsia="黑体" w:cs="黑体"/>
          <w:b/>
          <w:color w:val="000000"/>
          <w:sz w:val="28"/>
        </w:rPr>
        <w:t xml:space="preserve">、投标文件构成</w:t>
      </w:r>
      <w:r/>
    </w:p>
    <w:p>
      <w:pPr>
        <w:ind w:firstLine="480"/>
        <w:tabs>
          <w:tab w:val="left" w:pos="1080" w:leader="none"/>
          <w:tab w:val="left" w:pos="1589" w:leader="none"/>
          <w:tab w:val="left" w:pos="2014"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10.1本项目如划分采购包，投标人可以对本项目的其中一个采购包进行投标，也可同时对多个采购包进行投标。</w:t>
      </w:r>
      <w:r>
        <w:rPr>
          <w:rFonts w:ascii="宋体" w:hAnsi="宋体" w:cs="宋体"/>
          <w:i/>
          <w:color w:val="000000"/>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10.3如标书制作工具中格式和内容与“江苏政府采购网” 、“常州市政府采购网”发布的招标文件不一致，请以“江苏政府采购网” 、“常州市政府采购网”发布的招标文件为准。</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11</w:t>
      </w:r>
      <w:r>
        <w:rPr>
          <w:rFonts w:ascii="黑体" w:hAnsi="黑体" w:eastAsia="黑体" w:cs="黑体"/>
          <w:b/>
          <w:color w:val="000000"/>
          <w:sz w:val="28"/>
        </w:rPr>
        <w:t xml:space="preserve">、证明投标人及投标标的符合招标文件规定的文件</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投标人应按照法律、法规、规章和规范性文件以及招标文件要求提交证明文件，证明其及投标标的符合招标文件规定。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12</w:t>
      </w:r>
      <w:r>
        <w:rPr>
          <w:rFonts w:ascii="黑体" w:hAnsi="黑体" w:eastAsia="黑体" w:cs="黑体"/>
          <w:b/>
          <w:color w:val="000000"/>
          <w:sz w:val="28"/>
        </w:rPr>
        <w:t xml:space="preserve">、投标分项报价表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13</w:t>
      </w:r>
      <w:r>
        <w:rPr>
          <w:rFonts w:ascii="黑体" w:hAnsi="黑体" w:eastAsia="黑体" w:cs="黑体"/>
          <w:b/>
          <w:color w:val="000000"/>
          <w:sz w:val="28"/>
        </w:rPr>
        <w:t xml:space="preserve">、技术要求响应及偏离表、商务要求响应及偏离表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投标人需对招标文件中的技术要求与商务要求逐项作出响应或偏离，并说明原因。</w:t>
      </w:r>
      <w:r/>
    </w:p>
    <w:p>
      <w:pPr>
        <w:ind w:firstLine="480"/>
        <w:spacing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14</w:t>
      </w:r>
      <w:r>
        <w:rPr>
          <w:rFonts w:ascii="黑体" w:hAnsi="黑体" w:eastAsia="黑体" w:cs="黑体"/>
          <w:b/>
          <w:color w:val="000000"/>
          <w:sz w:val="28"/>
        </w:rPr>
        <w:t xml:space="preserve">、投标函和开标一览表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投标人应按照招标文件中提供的格式完整、正确填写投标函、开标一览表。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15</w:t>
      </w:r>
      <w:r>
        <w:rPr>
          <w:rFonts w:ascii="黑体" w:hAnsi="黑体" w:eastAsia="黑体" w:cs="黑体"/>
          <w:b/>
          <w:color w:val="000000"/>
          <w:sz w:val="28"/>
        </w:rPr>
        <w:t xml:space="preserve">、投标有效期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投标有效期为采购中心规定的开标之日后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16</w:t>
      </w:r>
      <w:r>
        <w:rPr>
          <w:rFonts w:ascii="黑体" w:hAnsi="黑体" w:eastAsia="黑体" w:cs="黑体"/>
          <w:b/>
          <w:color w:val="000000"/>
          <w:sz w:val="28"/>
        </w:rPr>
        <w:t xml:space="preserve">、投标有效期的延长</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17</w:t>
      </w:r>
      <w:r>
        <w:rPr>
          <w:rFonts w:ascii="黑体" w:hAnsi="黑体" w:eastAsia="黑体" w:cs="黑体"/>
          <w:b/>
          <w:color w:val="000000"/>
          <w:sz w:val="28"/>
        </w:rPr>
        <w:t xml:space="preserve">、投标文件的递交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电子投标文件的递交</w:t>
      </w:r>
      <w:r/>
    </w:p>
    <w:p>
      <w:pPr>
        <w:ind w:left="52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投标人应当按照《操作手册》规定，在投标截止时间前制作并上传电子投标文件。</w:t>
      </w:r>
      <w:r/>
    </w:p>
    <w:p>
      <w:pPr>
        <w:ind w:firstLine="420"/>
        <w:spacing w:before="280" w:after="290" w:line="43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18</w:t>
      </w:r>
      <w:r>
        <w:rPr>
          <w:rFonts w:ascii="黑体" w:hAnsi="黑体" w:eastAsia="黑体" w:cs="黑体"/>
          <w:b/>
          <w:color w:val="000000"/>
          <w:sz w:val="28"/>
        </w:rPr>
        <w:t xml:space="preserve">、投标截止时间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18.1 投标人上传电子投标文件的时间不得迟于招标公告中规定的投标截止时间。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采购中心可以按照规定，通过修改招标文件酌情延长投标截止时间，在此情况下，投标人的所有权利和义务以及投标人受制的截止时间均应以延长后新的截止时间为准。</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19</w:t>
      </w:r>
      <w:r>
        <w:rPr>
          <w:rFonts w:ascii="黑体" w:hAnsi="黑体" w:eastAsia="黑体" w:cs="黑体"/>
          <w:b/>
          <w:color w:val="000000"/>
          <w:sz w:val="28"/>
        </w:rPr>
        <w:t xml:space="preserve">、投标文件的拒收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19.1采购中心拒绝接收在其规定的投标截止时间后上传的任何投标文件。</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20</w:t>
      </w:r>
      <w:r>
        <w:rPr>
          <w:rFonts w:ascii="黑体" w:hAnsi="黑体" w:eastAsia="黑体" w:cs="黑体"/>
          <w:b/>
          <w:color w:val="000000"/>
          <w:sz w:val="28"/>
        </w:rPr>
        <w:t xml:space="preserve">、投标文件的撤回和修改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 电子投标文件的撤回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 投标人撤回电子投标文件，则认为其不再参与本项目投标活动。</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投标文件的修改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在投标截止时间之后，投标人不得对其电子投标文件作任何修改。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在投标截止时间至招标文件中规定的投标有效期满之间的这段时间内，投标人不得撤回其投标。</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21</w:t>
      </w:r>
      <w:r>
        <w:rPr>
          <w:rFonts w:ascii="黑体" w:hAnsi="黑体" w:eastAsia="黑体" w:cs="黑体"/>
          <w:b/>
          <w:color w:val="000000"/>
          <w:sz w:val="28"/>
        </w:rPr>
        <w:t xml:space="preserve">、开标</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采购中心将在招标公告中规定的时间和地点组织公开开标。投标人应当按照《操作手册》规定，参加开标活动和在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21.2开标仪式由采购中心组织。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 </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22</w:t>
      </w:r>
      <w:r>
        <w:rPr>
          <w:rFonts w:ascii="黑体" w:hAnsi="黑体" w:eastAsia="黑体" w:cs="黑体"/>
          <w:b/>
          <w:color w:val="000000"/>
          <w:sz w:val="28"/>
        </w:rPr>
        <w:t xml:space="preserve">、评标委员会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22.1开标后，采购中心将立即组织评标委员会（以下简称评委会）进行评标。</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评委会由采购人代表和有关技术、经济等方面的专家组成，且人员构成符合政府采购有关规定。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22.3评委会独立工作，负责评审所有投标文件并确定中标候选人。</w:t>
      </w:r>
      <w:r/>
    </w:p>
    <w:p>
      <w:pPr>
        <w:ind w:firstLine="4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23、评标过程的保密与公正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23.1凡是与审查、澄清、评价和比较投标的有关资料以及授标建议等，采购人、评委、采购中心均不得向投标人或与评标无关的其他人员透露。</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采购中心和评标委员会不向未中标的投标人解释未中标原因，也不公布评标过程中的相关细节。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24</w:t>
      </w:r>
      <w:r>
        <w:rPr>
          <w:rFonts w:ascii="黑体" w:hAnsi="黑体" w:eastAsia="黑体" w:cs="黑体"/>
          <w:b/>
          <w:color w:val="000000"/>
          <w:sz w:val="28"/>
        </w:rPr>
        <w:t xml:space="preserve">、投标文件的澄清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 ，有权要求投标人作出必要的澄清、说明或者补正。</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接到评委会澄清、说明和补正要求的投标人如未按规定做出澄清、说明和补正，其风险由投标人自行承担。</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25</w:t>
      </w:r>
      <w:r>
        <w:rPr>
          <w:rFonts w:ascii="黑体" w:hAnsi="黑体" w:eastAsia="黑体" w:cs="黑体"/>
          <w:b/>
          <w:color w:val="000000"/>
          <w:sz w:val="28"/>
        </w:rPr>
        <w:t xml:space="preserve">、对投标文件的初审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未通过资格审查或符合性审查的投标人，采购中心将在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中告知未通过资格审查或符合性审查的原因，评标结束后，采购中心将不再告知未通过资格审查和符合性审查的原因。</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25.4评委会将对确定为实质性响应的投标进行进一步审核，确定其是否有计算上或累加上的算术错误，修正错误的原则如下：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查阅、答复相关信息，并安排专人与采购中心及评标委员会联系。</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26</w:t>
      </w:r>
      <w:r>
        <w:rPr>
          <w:rFonts w:ascii="黑体" w:hAnsi="黑体" w:eastAsia="黑体" w:cs="黑体"/>
          <w:b/>
          <w:color w:val="000000"/>
          <w:sz w:val="28"/>
        </w:rPr>
        <w:t xml:space="preserve">、无效投标条款和废标条款</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投标人未按照招标文件要求上传电子投标文件的。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26.1.3同一投标人提交两个（含两个）以上不同的投标报价的。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36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26.1.7不符合招标文件中规定的实质性要求和条件的</w:t>
      </w:r>
      <w:r>
        <w:rPr>
          <w:rFonts w:ascii="宋体" w:hAnsi="宋体" w:cs="宋体"/>
          <w:b/>
          <w:color w:val="000000"/>
          <w:sz w:val="24"/>
        </w:rPr>
        <w:t xml:space="preserve">（</w:t>
      </w:r>
      <w:r>
        <w:rPr>
          <w:rFonts w:ascii="宋体" w:hAnsi="宋体" w:cs="宋体"/>
          <w:b/>
          <w:i/>
          <w:color w:val="000000"/>
          <w:sz w:val="24"/>
          <w:u w:val="single"/>
        </w:rPr>
        <w:t xml:space="preserve">本招标文件中斜体且有下划线部分的、或者加“★”号的、或者以文字说明属于实质性要求的内容均为实质性要求和条件）。</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 投标文件含有采购人不能接受的附加条件的。</w:t>
      </w:r>
      <w:r/>
    </w:p>
    <w:p>
      <w:pPr>
        <w:ind w:firstLine="480"/>
        <w:spacing w:line="438"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26.1.10 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投标文件未按照招标文件要求加盖CA电子公章的。</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26.1.12其他法律、法规及本招标文件规定的属无效投标的情形。</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26.2.1符合专业条件的供应商或者对招标文件作实质响应的供应商不足三家的。26.2.2出现影响采购公正的违法、违规行为的。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26.2.4评标委员会认定招标文件存在歧义、重大缺陷导致评审工作无法进行。</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投标截止时间结束后参加投标的供应商不足三家的处理：</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26.3.1如出现投标截止时间结束后参加投标的供应商或者在评标期间对招标文件做出实质响应的供应商不足三家情况，按政府采购相关规定执行。</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27、确定中标单位</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采购人应根据评委会推荐的中标候选人按顺序确定中标人，中标候选人并列的，由采购人依法确定。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采购中心将在“江苏政府采购网、常州市政府采购网”发布中标公告，公告期限为1个工作日。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若有充分证据证明，中标人出现下列情况之一的，一经查实，将被取消中标资格：</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27.4.2向采购人、采购中心行贿或者提供其他不正当利益的。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27.5有下列情形之一的，视为投标人串通投标，投标无效：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28、质疑处理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提出质疑的供应商应当是参与所质疑项目采购活动的供应商。潜在供应商依法获取其可质疑的采购文件的，可以对采购文件提出质疑。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28.2.3对中标或者成交结果提出质疑的，为中标或者成交结果公告期限届满之日。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采购中心及采购人只接收以纸质原件形式送达的质疑,建议外地供应商尽量通过邮寄方式提交质疑</w:t>
      </w:r>
      <w:r>
        <w:rPr>
          <w:rFonts w:ascii="宋体" w:hAnsi="宋体" w:cs="宋体"/>
          <w:color w:val="ff0000"/>
          <w:sz w:val="24"/>
        </w:rPr>
        <w:t xml:space="preserve">（采购人和采购中心不接受未填写快递运单的快件）。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采购人和采购中心质疑接收联系方式见第一章投标邀请。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以下情形的质疑不予受理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内容不符合《政府采购质疑和投诉办法》第十二条规定的质疑。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超出政府采购法定期限的质疑。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以传真、电子邮件等方式递交的非原件形式的质疑。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未参加投标活动的供应商或在投标活动中自身权益未受到损害的供应商所提出的质疑。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29、中标通知书</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29.l中标结果确定后，采购中心将向中标人发出中标通知书。请中标人在中标结果公告届满之日起30日内,使用CA数字证书登录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30. 签订合同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30.l中标人应当在中标通知书发出之日起三十日内，按照招标文件确定的事项与采购人签订政府采购合同。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30.2招标文件、中标人的投标文件及招标过程中有关澄清、承诺文件均应作为合同附件。</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签订合同后，</w:t>
      </w:r>
      <w:r>
        <w:rPr>
          <w:rFonts w:ascii="宋体" w:hAnsi="宋体" w:cs="宋体"/>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31、服务（包含与服务相关的货物）的追加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32、需要执行的政府采购政策（包括但不限于）</w:t>
      </w:r>
      <w:r>
        <w:rPr>
          <w:rFonts w:eastAsia="Times New Roman"/>
          <w:b/>
          <w:color w:val="000000"/>
          <w:sz w:val="24"/>
        </w:rPr>
        <w:t xml:space="preserve"> </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32.1履约资金扶持政策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中标人可凭政府采购合同办理融资贷款，详情请见江苏政府采购网“政采贷”专栏。</w:t>
      </w:r>
      <w:r/>
    </w:p>
    <w:p>
      <w:pPr>
        <w:ind w:firstLine="482"/>
        <w:spacing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32.2进口产品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32.3中小企业、监狱企业及残疾人福利性单位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32.3.1中小企业定义：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中小企业是</w:t>
      </w:r>
      <w:r>
        <w:rPr>
          <w:rFonts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32.3.2供应商提供的货物、工程或者服务符合下列情形的，享受中小企业扶持政策：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32.3.2.1在货物采购项目中，货物由中小企业制造，即货物由中小企业生产且使用该中小企业商号或者注册商标；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32.3.2.2在工程采购项目中，工程由中小企业承建，即工程施工单位为中小企业；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32.3.2.3在服务采购项目中，服务由中小企业承接，即提供服务的人员为中小企业依照《中华人民共和国劳动合同法》订立劳动合同的从业人员。</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32.3.3在货物采购项目中，供应商提供的货物既有中小企业制造货物，也有大型企业制造货物的，不享受中小企业扶持政策。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32.3.4以联合体形式参加政府采购活动，联合体各方均为中小企业的，联合体视同中小企业。其中，联合体各方均为小微企业的，联合体视同小微企业。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32.3.6残疾人福利单位定义：享受政府采购支持政策的残疾人福利性单位应当同时满足以下条件：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32.3.6.1安置的残疾人占本单位在职职工人数的比例不低于25%（含25%），并且安置的残疾人人数不少于10 人（含10 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32.3.6.2依法与安置的每位残疾人签订了一年以上（含一年）的劳动合同或服务协议；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32.3.6.3为安置的每位残疾人按月足额缴纳了基本养老保险、基本医疗保险、失业保险、工伤保险和生育保险等社会保险费；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32.3.6.4通过银行等金融机构向安置的每位残疾人，按月支付了不低于单位所在区县适用的经省级人民政府批准的月最低工资标准的工资；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32.3.7本项目是否专门面向中小企业预留采购份额见第一章《投标邀请》。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32.3.8采购标的对应的中小企业划分标准所属行业见第四章《采购需求》。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32.3.9小微企业价格评审优惠的政策调整：见第五章《评标方法和评标标准》。</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32.4政府采购节能产品、环境标志产品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w:t>
      </w:r>
      <w:r>
        <w:rPr>
          <w:rFonts w:ascii="宋体" w:hAnsi="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32.4.2非政府强制采购的节能产品或环境标志产品，依据品目清单和认证证书实施政府优先采购。优先采购的具体规定见第五章《评标方法和评标标准》（如涉及）。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32.5绿色包装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32.6支持乡村产业振兴管理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32.7正版软件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32.8政府采购创新产品政策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32.9绿色数据中心政策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依据《绿色数据中心政府采购需求标准（试行）》（财办库〔2023〕7号）文件精神，采购</w:t>
      </w:r>
      <w:r>
        <w:rPr>
          <w:rFonts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b/>
          <w:color w:val="000000"/>
          <w:sz w:val="24"/>
        </w:rPr>
        <w:t xml:space="preserve">32.10履约保证金相关政策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w:t>
      </w:r>
      <w:r>
        <w:rPr>
          <w:rFonts w:ascii="Calibri" w:hAnsi="Calibri" w:eastAsia="Calibri" w:cs="Calibri"/>
          <w:b/>
          <w:color w:val="000000"/>
          <w:sz w:val="44"/>
        </w:rPr>
        <w:t xml:space="preserve"> </w:t>
      </w:r>
      <w:r>
        <w:rPr>
          <w:rFonts w:ascii="黑体" w:hAnsi="黑体" w:eastAsia="黑体" w:cs="黑体"/>
          <w:b/>
          <w:color w:val="000000"/>
          <w:sz w:val="44"/>
        </w:rPr>
        <w:t xml:space="preserve"> 合同文本</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jc w:val="cente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常州市政府采购合同（服务）（合同编号）</w:t>
      </w:r>
      <w:r/>
    </w:p>
    <w:p>
      <w:pP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hint="eastAsia" w:hAnsi="宋体"/>
          <w:bCs/>
          <w:color w:val="000000"/>
          <w:sz w:val="24"/>
        </w:rPr>
        <w:t xml:space="preserve">常州市住房公积金管理中心2025年度智慧公积金软件专项运维服务项目</w:t>
      </w:r>
      <w:r>
        <w:rPr>
          <w:rFonts w:ascii="宋体" w:hAnsi="宋体" w:cs="宋体"/>
          <w:color w:val="000000"/>
          <w:sz w:val="24"/>
        </w:rPr>
        <w:t xml:space="preserve">项目编号：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w:t>
      </w:r>
      <w:r>
        <w:rPr>
          <w:rFonts w:hint="eastAsia" w:hAnsi="宋体"/>
          <w:bCs/>
          <w:color w:val="000000"/>
          <w:sz w:val="24"/>
          <w:u w:val="single"/>
        </w:rPr>
        <w:t xml:space="preserve">常州市住房公积金管理中心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甲、乙双方根据常州市政府采购中心</w:t>
      </w:r>
      <w:r>
        <w:rPr>
          <w:rFonts w:hint="eastAsia" w:hAnsi="宋体"/>
          <w:bCs/>
          <w:color w:val="000000"/>
          <w:sz w:val="24"/>
          <w:u w:val="single"/>
        </w:rPr>
        <w:t xml:space="preserve">2025年度智慧公积金软件专项运维服务项目</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本合同金额为（大写）：____________________________________圆（_______________元）人民币或其他币种。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0"/>
        <w:ind w:left="408" w:hanging="408"/>
        <w:rPr>
          <w:rFonts w:hAnsi="宋体"/>
          <w:color w:val="000000"/>
          <w:sz w:val="24"/>
        </w:rPr>
      </w:pPr>
      <w:r>
        <w:rPr>
          <w:rFonts w:hint="eastAsia" w:hAnsi="宋体" w:cs="宋体"/>
          <w:color w:val="000000"/>
          <w:sz w:val="24"/>
        </w:rPr>
        <w:t xml:space="preserve">4.2</w:t>
      </w:r>
      <w:r>
        <w:rPr>
          <w:rFonts w:hint="eastAsia" w:hAnsi="宋体"/>
          <w:color w:val="000000"/>
          <w:sz w:val="24"/>
        </w:rPr>
        <w:t xml:space="preserve">乙方</w:t>
      </w:r>
      <w:r>
        <w:rPr>
          <w:rFonts w:hAnsi="宋体"/>
          <w:color w:val="000000"/>
          <w:sz w:val="24"/>
        </w:rPr>
        <w:t xml:space="preserve">在服务过程中所产生的一切</w:t>
      </w:r>
      <w:r>
        <w:rPr>
          <w:rFonts w:hint="eastAsia" w:hAnsi="宋体"/>
          <w:color w:val="000000"/>
          <w:sz w:val="24"/>
        </w:rPr>
        <w:t xml:space="preserve">服务</w:t>
      </w:r>
      <w:r>
        <w:rPr>
          <w:rFonts w:hAnsi="宋体"/>
          <w:color w:val="000000"/>
          <w:sz w:val="24"/>
        </w:rPr>
        <w:t xml:space="preserve">成品（含源文件等）版权归</w:t>
      </w:r>
      <w:r>
        <w:rPr>
          <w:rFonts w:hint="eastAsia" w:hAnsi="宋体"/>
          <w:color w:val="000000"/>
          <w:sz w:val="24"/>
        </w:rPr>
        <w:t xml:space="preserve">甲方</w:t>
      </w:r>
      <w:r>
        <w:rPr>
          <w:rFonts w:hAnsi="宋体"/>
          <w:color w:val="000000"/>
          <w:sz w:val="24"/>
        </w:rPr>
        <w:t xml:space="preserve">所有，未经</w:t>
      </w:r>
      <w:r>
        <w:rPr>
          <w:rFonts w:hint="eastAsia" w:hAnsi="宋体"/>
          <w:color w:val="000000"/>
          <w:sz w:val="24"/>
        </w:rPr>
        <w:t xml:space="preserve">甲方</w:t>
      </w:r>
      <w:r>
        <w:rPr>
          <w:rFonts w:hAnsi="宋体"/>
          <w:color w:val="000000"/>
          <w:sz w:val="24"/>
        </w:rPr>
        <w:t xml:space="preserve">同意不得用于本合同以外目的。如造成</w:t>
      </w:r>
      <w:r>
        <w:rPr>
          <w:rFonts w:hint="eastAsia" w:hAnsi="宋体"/>
          <w:color w:val="000000"/>
          <w:sz w:val="24"/>
        </w:rPr>
        <w:t xml:space="preserve">甲方</w:t>
      </w:r>
      <w:r>
        <w:rPr>
          <w:rFonts w:hAnsi="宋体"/>
          <w:color w:val="000000"/>
          <w:sz w:val="24"/>
        </w:rPr>
        <w:t xml:space="preserve">损失的，</w:t>
      </w:r>
      <w:r>
        <w:rPr>
          <w:rFonts w:hint="eastAsia" w:hAnsi="宋体"/>
          <w:color w:val="000000"/>
          <w:sz w:val="24"/>
        </w:rPr>
        <w:t xml:space="preserve">乙方</w:t>
      </w:r>
      <w:r>
        <w:rPr>
          <w:rFonts w:hAnsi="宋体"/>
          <w:color w:val="000000"/>
          <w:sz w:val="24"/>
        </w:rPr>
        <w:t xml:space="preserve">应予以赔偿。</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w:t>
      </w:r>
      <w:r>
        <w:rPr>
          <w:rFonts w:hint="eastAsia" w:ascii="宋体" w:hAnsi="宋体" w:cs="宋体"/>
          <w:color w:val="000000"/>
          <w:sz w:val="24"/>
          <w:u w:val="single"/>
        </w:rPr>
        <w:t xml:space="preserve">不收取</w:t>
      </w:r>
      <w:r>
        <w:rPr>
          <w:rFonts w:ascii="宋体" w:hAnsi="宋体" w:cs="宋体"/>
          <w:color w:val="000000"/>
          <w:sz w:val="24"/>
        </w:rPr>
        <w:t xml:space="preserve">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（根据财政部门优化营商环境相关文件要求，原则上不收取履约保证金，如实际情况确实需要收取的，按照下列内容填写完整）</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56" w:after="156"/>
        <w:rPr>
          <w:rFonts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8.1分期付款：</w:t>
      </w:r>
      <w:r/>
    </w:p>
    <w:p>
      <w:pPr>
        <w:rPr>
          <w:rFonts w:ascii="宋体" w:hAnsi="宋体" w:cs="仿宋"/>
          <w:color w:val="000000"/>
          <w:sz w:val="24"/>
        </w:rPr>
      </w:pPr>
      <w:r>
        <w:rPr>
          <w:rFonts w:hint="eastAsia" w:ascii="宋体" w:hAnsi="宋体" w:cs="仿宋"/>
          <w:color w:val="000000"/>
          <w:sz w:val="24"/>
        </w:rPr>
        <w:t xml:space="preserve">8.1.1预付款支付时间：采购合同签订生效后30日内，预付款支付比例：合同款项（中标金额）的30%。满足合同约定支付条件的，自收到发票后10个工作日内支付。</w:t>
      </w:r>
      <w:r/>
    </w:p>
    <w:p>
      <w:pPr>
        <w:rPr>
          <w:rFonts w:ascii="宋体" w:hAnsi="宋体" w:cs="宋体"/>
          <w:sz w:val="24"/>
        </w:rPr>
      </w:pPr>
      <w:r>
        <w:rPr>
          <w:rFonts w:hint="eastAsia" w:ascii="宋体" w:hAnsi="宋体" w:cs="宋体"/>
          <w:sz w:val="24"/>
        </w:rPr>
        <w:t xml:space="preserve">8.1.2</w:t>
      </w:r>
      <w:r>
        <w:rPr>
          <w:rFonts w:hint="eastAsia" w:ascii="宋体" w:hAnsi="宋体" w:cs="仿宋"/>
          <w:color w:val="000000"/>
          <w:sz w:val="24"/>
        </w:rPr>
        <w:t xml:space="preserve">进度款支付时间：2025年12月底前支付进度款项，进度款支付比例为合同款项（中标金额）的40%。满足合同约定支付条件的，自收到发票后10个工作日内支付。</w:t>
      </w:r>
      <w:r/>
    </w:p>
    <w:p>
      <w:pPr>
        <w:spacing w:before="156" w:after="156"/>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rPr>
        <w:t xml:space="preserve">8.1.3尾款支付时间：乙方按照采购合同履约完成向甲方申请验收，经甲方验收合格后支付剩余合同款项。满足合同约定支付条件的，自收到发票后10个工作日内支付</w:t>
      </w:r>
      <w:r>
        <w:rPr>
          <w:rFonts w:hint="eastAsia" w:ascii="宋体" w:hAnsi="宋体"/>
          <w:sz w:val="24"/>
        </w:rPr>
        <w:t xml:space="preserve">。</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甲方无正当理由拒绝接受乙方提供服务的，甲方向乙方偿付拒绝接受服务合同价款总值</w:t>
      </w:r>
      <w:r>
        <w:rPr>
          <w:rFonts w:hint="eastAsia" w:hAnsi="宋体"/>
          <w:sz w:val="24"/>
          <w:szCs w:val="24"/>
          <w:u w:val="single"/>
        </w:rPr>
        <w:t xml:space="preserve">5%</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甲方无故逾期验收和办理合同款项支付手续的,甲方应按逾期付款总额</w:t>
      </w:r>
      <w:r>
        <w:rPr>
          <w:rFonts w:hint="eastAsia" w:hAnsi="宋体"/>
          <w:sz w:val="24"/>
          <w:szCs w:val="24"/>
          <w:u w:val="single"/>
        </w:rPr>
        <w:t xml:space="preserve">5%</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sz w:val="24"/>
          <w:szCs w:val="24"/>
          <w:u w:val="single"/>
        </w:rPr>
        <w:t xml:space="preserve">5%</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本合同正本一式两份，具有同等法律效力，甲方、乙方各执一份。</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                       乙方：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        法定代表人或授权代表：</w:t>
      </w:r>
      <w:r/>
    </w:p>
    <w:p>
      <w:pPr>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联系电话：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签订日期：     年    月   日</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一、采购标的</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项目名称：</w:t>
      </w:r>
      <w:r>
        <w:rPr>
          <w:rFonts w:hint="eastAsia" w:ascii="宋体" w:hAnsi="宋体"/>
          <w:bCs/>
          <w:color w:val="000000"/>
          <w:sz w:val="24"/>
        </w:rPr>
        <w:t xml:space="preserve">常州市住房公积金管理中心2025年度智慧公积金软件专项运维服务项目</w:t>
      </w: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2.预算金额：</w:t>
      </w:r>
      <w:r>
        <w:rPr>
          <w:rFonts w:hint="eastAsia" w:ascii="宋体" w:hAnsi="宋体"/>
          <w:sz w:val="24"/>
        </w:rPr>
        <w:t xml:space="preserve">210万元</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3.最高限价：</w:t>
      </w:r>
      <w:r>
        <w:rPr>
          <w:rFonts w:hint="eastAsia" w:ascii="宋体" w:hAnsi="宋体"/>
          <w:sz w:val="24"/>
        </w:rPr>
        <w:t xml:space="preserve">210万元</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4.采购项目概况（简介）：</w:t>
      </w:r>
      <w:r>
        <w:rPr>
          <w:rFonts w:hint="eastAsia" w:ascii="宋体" w:hAnsi="宋体"/>
          <w:bCs/>
          <w:sz w:val="24"/>
        </w:rPr>
        <w:t xml:space="preserve">为保障常州市住房公积金综合办公平台、数据库系统软件、以及线上渠道业务稳定运行，提供2025年度智慧公积金应用软件专项运维服务</w:t>
      </w:r>
      <w:r>
        <w:rPr>
          <w:rFonts w:ascii="宋体" w:hAnsi="宋体"/>
          <w:bCs/>
          <w:sz w:val="24"/>
        </w:rPr>
        <w:t xml:space="preserve">。</w:t>
      </w:r>
      <w:r>
        <w:rPr>
          <w:rFonts w:hint="eastAsia" w:ascii="宋体" w:hAnsi="宋体"/>
          <w:sz w:val="24"/>
          <w:szCs w:val="24"/>
        </w:rPr>
        <w:t xml:space="preserve">采购服务内容包括但不限：</w:t>
      </w:r>
      <w:r>
        <w:rPr>
          <w:rFonts w:hint="eastAsia" w:ascii="宋体" w:hAnsi="宋体" w:cs="仿宋"/>
          <w:sz w:val="24"/>
        </w:rPr>
        <w:t xml:space="preserve">个人住房贷款“一件事”、企业迁移登记“一件事”、社会保障卡居民服务“一件事”、住房公积金个人事项“亮码可办”、网络化管理系统改版、智慧公积金数字经办人、柜外肩并肩主动服务、模拟演示系统、会计档案电子化、风险防控等软件开发维护工作</w:t>
      </w:r>
      <w:r>
        <w:rPr>
          <w:rFonts w:hint="eastAsia" w:ascii="宋体" w:hAnsi="宋体"/>
          <w:bCs/>
          <w:color w:val="000000"/>
          <w:sz w:val="24"/>
        </w:rPr>
        <w:t xml:space="preserve">。</w:t>
      </w: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5.合同履行期限：</w:t>
      </w:r>
      <w:r>
        <w:rPr>
          <w:rFonts w:hint="eastAsia" w:ascii="宋体" w:hAnsi="宋体" w:cs="仿宋"/>
          <w:color w:val="000000"/>
          <w:sz w:val="24"/>
        </w:rPr>
        <w:t xml:space="preserve">自合同签订生效之日起12个月内。</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6.是/否接受联合体投标：</w:t>
      </w:r>
      <w:r>
        <w:rPr>
          <w:rFonts w:hint="eastAsia" w:ascii="宋体" w:hAnsi="宋体" w:cs="宋体"/>
          <w:color w:val="000000"/>
          <w:sz w:val="24"/>
        </w:rPr>
        <w:t xml:space="preserve">否</w:t>
      </w: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7.</w:t>
      </w:r>
      <w:r>
        <w:rPr>
          <w:rFonts w:ascii="宋体" w:hAnsi="宋体" w:cs="宋体"/>
          <w:color w:val="000000"/>
          <w:sz w:val="24"/>
        </w:rPr>
        <w:t xml:space="preserve">是</w:t>
      </w:r>
      <w:r>
        <w:rPr>
          <w:rFonts w:eastAsia="Times New Roman"/>
          <w:color w:val="000000"/>
          <w:sz w:val="24"/>
        </w:rPr>
        <w:t xml:space="preserve">/</w:t>
      </w:r>
      <w:r>
        <w:rPr>
          <w:rFonts w:ascii="宋体" w:hAnsi="宋体" w:cs="宋体"/>
          <w:color w:val="000000"/>
          <w:sz w:val="24"/>
        </w:rPr>
        <w:t xml:space="preserve">否接受分支机构参与响应：</w:t>
      </w:r>
      <w:r>
        <w:rPr>
          <w:rFonts w:hint="eastAsia" w:ascii="宋体" w:hAnsi="宋体" w:cs="宋体"/>
          <w:color w:val="000000"/>
          <w:sz w:val="24"/>
        </w:rPr>
        <w:t xml:space="preserve">否</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8.是/否属于政府购买服务：</w:t>
      </w:r>
      <w:r>
        <w:rPr>
          <w:rFonts w:hint="eastAsia" w:ascii="宋体" w:hAnsi="宋体" w:cs="宋体"/>
          <w:color w:val="000000"/>
          <w:sz w:val="24"/>
        </w:rPr>
        <w:t xml:space="preserve">否</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9.是</w:t>
      </w:r>
      <w:r>
        <w:rPr>
          <w:rFonts w:eastAsia="Times New Roman"/>
          <w:color w:val="000000"/>
          <w:sz w:val="24"/>
        </w:rPr>
        <w:t xml:space="preserve">/</w:t>
      </w:r>
      <w:r>
        <w:rPr>
          <w:rFonts w:ascii="宋体" w:hAnsi="宋体" w:cs="宋体"/>
          <w:color w:val="000000"/>
          <w:sz w:val="24"/>
        </w:rPr>
        <w:t xml:space="preserve">否接受进口产品投标：</w:t>
      </w:r>
      <w:r>
        <w:rPr>
          <w:rFonts w:hint="eastAsia" w:ascii="宋体" w:hAnsi="宋体" w:cs="宋体"/>
          <w:color w:val="000000"/>
          <w:sz w:val="24"/>
        </w:rPr>
        <w:t xml:space="preserve">否</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10.</w:t>
      </w:r>
      <w:r>
        <w:rPr>
          <w:rFonts w:ascii="宋体" w:hAnsi="宋体" w:cs="宋体"/>
          <w:color w:val="000000"/>
          <w:sz w:val="24"/>
        </w:rPr>
        <w:t xml:space="preserve">是</w:t>
      </w:r>
      <w:r>
        <w:rPr>
          <w:rFonts w:eastAsia="Times New Roman"/>
          <w:color w:val="000000"/>
          <w:sz w:val="24"/>
        </w:rPr>
        <w:t xml:space="preserve">/</w:t>
      </w:r>
      <w:r>
        <w:rPr>
          <w:rFonts w:ascii="宋体" w:hAnsi="宋体" w:cs="宋体"/>
          <w:color w:val="000000"/>
          <w:sz w:val="24"/>
        </w:rPr>
        <w:t xml:space="preserve">否专门面向中小企业预留采购份额：</w:t>
      </w:r>
      <w:r>
        <w:rPr>
          <w:rFonts w:hint="eastAsia" w:ascii="宋体" w:hAnsi="宋体" w:cs="宋体"/>
          <w:color w:val="000000"/>
          <w:sz w:val="24"/>
        </w:rPr>
        <w:t xml:space="preserve">是</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w:t>
      </w:r>
      <w:r>
        <w:rPr>
          <w:rFonts w:ascii="宋体" w:hAnsi="宋体" w:cs="宋体"/>
          <w:color w:val="000000"/>
          <w:sz w:val="24"/>
        </w:rPr>
        <w:t xml:space="preserve">本项目的特定资格要求：</w:t>
      </w:r>
      <w:r>
        <w:rPr>
          <w:rFonts w:hint="eastAsia" w:ascii="宋体" w:hAnsi="宋体" w:cs="宋体"/>
          <w:color w:val="000000"/>
          <w:sz w:val="24"/>
        </w:rPr>
        <w:t xml:space="preserve">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12.项目类别：</w:t>
      </w:r>
      <w:r>
        <w:rPr>
          <w:rFonts w:hint="eastAsia" w:ascii="宋体" w:hAnsi="宋体" w:cs="宋体"/>
          <w:color w:val="000000"/>
          <w:sz w:val="24"/>
        </w:rPr>
        <w:t xml:space="preserve">服务类</w:t>
      </w: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二、商务要求</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交付（实施）的时间（期限）和地点（范围）</w:t>
      </w:r>
      <w:r/>
    </w:p>
    <w:p>
      <w:pPr>
        <w:rPr>
          <w:rFonts w:ascii="宋体" w:hAnsi="宋体" w:cs="仿宋"/>
          <w:color w:val="000000"/>
          <w:sz w:val="24"/>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rPr>
        <w:t xml:space="preserve">时间：自合同签订生效之日起12个月内。</w:t>
      </w:r>
      <w:r/>
    </w:p>
    <w:p>
      <w:pPr>
        <w:rPr>
          <w:rFonts w:eastAsiaTheme="minorEastAsia"/>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rPr>
        <w:t xml:space="preserve">地点：常州市锦绣路2号</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付款条件（进度和方式）</w:t>
      </w:r>
      <w:r/>
    </w:p>
    <w:p>
      <w:pPr>
        <w:rPr>
          <w:rFonts w:ascii="宋体" w:hAnsi="宋体" w:cs="仿宋"/>
          <w:color w:val="000000"/>
          <w:sz w:val="24"/>
        </w:rPr>
      </w:pPr>
      <w:r>
        <w:rPr>
          <w:rFonts w:ascii="宋体" w:hAnsi="宋体" w:cs="宋体"/>
          <w:color w:val="000000"/>
          <w:sz w:val="24"/>
        </w:rPr>
        <w:t xml:space="preserve">分期付款：</w:t>
      </w:r>
      <w:r/>
    </w:p>
    <w:p>
      <w:pPr>
        <w:rPr>
          <w:rFonts w:ascii="宋体" w:hAnsi="宋体" w:cs="仿宋"/>
          <w:color w:val="000000"/>
          <w:sz w:val="24"/>
        </w:rPr>
      </w:pPr>
      <w:r>
        <w:rPr>
          <w:rFonts w:hint="eastAsia" w:ascii="宋体" w:hAnsi="宋体" w:cs="仿宋"/>
          <w:color w:val="000000"/>
          <w:sz w:val="24"/>
        </w:rPr>
        <w:t xml:space="preserve">2.1.1预付款支付时间：采购合同签订生效后30日内，预付款支付比例：合同款项（中标金额）的30%。满足合同约定支付条件的，自收到发票后10个工作日内支付。</w:t>
      </w:r>
      <w:r/>
    </w:p>
    <w:p>
      <w:pPr>
        <w:rPr>
          <w:rFonts w:ascii="宋体" w:hAnsi="宋体" w:cs="宋体"/>
          <w:sz w:val="24"/>
        </w:rPr>
      </w:pPr>
      <w:r>
        <w:rPr>
          <w:rFonts w:hint="eastAsia" w:ascii="宋体" w:hAnsi="宋体" w:cs="宋体"/>
          <w:sz w:val="24"/>
        </w:rPr>
        <w:t xml:space="preserve">2.1.2进度款支付时间：2025年12月底前支付进度款项，进度款支付比例为合同款项（中标金额）的40%。满足合同约定支付条件的，自收到发票后10个工作日内支付。</w:t>
      </w:r>
      <w:r/>
    </w:p>
    <w:p>
      <w:pPr>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rPr>
        <w:t xml:space="preserve">2.1.3尾款支付时间：乙方按照采购合同履约完成向甲方申请验收，经甲方验收合格后支付剩余合同款项。满足合同约定支付条件的，自收到发票后10个工作日内支付</w:t>
      </w:r>
      <w:r>
        <w:rPr>
          <w:rFonts w:hint="eastAsia" w:ascii="宋体" w:hAnsi="宋体"/>
          <w:sz w:val="24"/>
        </w:rPr>
        <w:t xml:space="preserve">。</w:t>
      </w: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3.</w:t>
      </w:r>
      <w:r>
        <w:rPr>
          <w:rFonts w:ascii="宋体" w:hAnsi="宋体" w:cs="宋体"/>
          <w:color w:val="000000"/>
          <w:sz w:val="24"/>
        </w:rPr>
        <w:t xml:space="preserve">包装和运输</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4.</w:t>
      </w:r>
      <w:r>
        <w:rPr>
          <w:rFonts w:ascii="宋体" w:hAnsi="宋体" w:cs="宋体"/>
          <w:color w:val="000000"/>
          <w:sz w:val="24"/>
        </w:rPr>
        <w:t xml:space="preserve">售后服务（质保期等）</w:t>
      </w:r>
      <w:r/>
    </w:p>
    <w:p>
      <w:pPr>
        <w:contextualSpacing/>
        <w:spacing w:line="360" w:lineRule="auto"/>
        <w:rPr>
          <w:sz w:val="24"/>
        </w:rPr>
      </w:pPr>
      <w:r>
        <w:rPr>
          <w:rFonts w:eastAsia="Times New Roman"/>
          <w:color w:val="000000"/>
          <w:sz w:val="24"/>
        </w:rPr>
        <w:t xml:space="preserve"> </w:t>
      </w:r>
      <w:r>
        <w:rPr>
          <w:rFonts w:hint="eastAsia" w:ascii="宋体" w:hAnsi="宋体"/>
          <w:color w:val="000000"/>
          <w:sz w:val="24"/>
        </w:rPr>
        <w:t xml:space="preserve">4</w:t>
      </w:r>
      <w:r>
        <w:rPr>
          <w:rFonts w:ascii="宋体" w:hAnsi="宋体"/>
          <w:color w:val="000000"/>
          <w:sz w:val="24"/>
        </w:rPr>
        <w:t xml:space="preserve">.1</w:t>
      </w:r>
      <w:r>
        <w:rPr>
          <w:rFonts w:hint="eastAsia" w:ascii="宋体" w:hAnsi="宋体"/>
          <w:sz w:val="24"/>
        </w:rPr>
        <w:t xml:space="preserve">中标供应商在维护期内，根据采购人的需要不定期地对开展系统操作的培训，培训时间及地点由采购人确定。</w:t>
      </w:r>
      <w:r/>
    </w:p>
    <w:p>
      <w:pPr>
        <w:spacing w:line="360" w:lineRule="auto"/>
        <w:rPr>
          <w:sz w:val="24"/>
        </w:rPr>
      </w:pPr>
      <w:r>
        <w:rPr>
          <w:rFonts w:hint="eastAsia" w:ascii="宋体" w:hAnsi="宋体"/>
          <w:sz w:val="24"/>
        </w:rPr>
        <w:t xml:space="preserve">4.2中标供应商需提供完善的维护计划并与采购人协商，在不影响正常业务的情况下对设备进行部署与实施。</w:t>
      </w:r>
      <w:r>
        <w:rPr>
          <w:rFonts w:hint="eastAsia"/>
          <w:sz w:val="24"/>
        </w:rPr>
        <w:t xml:space="preserve"> </w:t>
      </w:r>
      <w:r/>
    </w:p>
    <w:p>
      <w:pPr>
        <w:contextualSpacing/>
        <w:rPr>
          <w:rFonts w:ascii="宋体" w:hAnsi="宋体"/>
          <w:color w:val="000000"/>
          <w:sz w:val="24"/>
        </w:rPr>
      </w:pPr>
      <w:r>
        <w:rPr>
          <w:rFonts w:hint="eastAsia" w:ascii="宋体" w:hAnsi="宋体"/>
          <w:sz w:val="24"/>
        </w:rPr>
        <w:t xml:space="preserve">4.3中标供应商在日常维护工作中，如果涉及技术对接等问题需要与原系统建设单位进行技术对接的，因此发生的费用由中标供应商自行承担。</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5.</w:t>
      </w:r>
      <w:r>
        <w:rPr>
          <w:rFonts w:ascii="宋体" w:hAnsi="宋体" w:cs="宋体"/>
          <w:color w:val="000000"/>
          <w:sz w:val="24"/>
        </w:rPr>
        <w:t xml:space="preserve">保险</w:t>
      </w: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pBdr>
          <w:top w:val="none" w:color="000000" w:sz="0" w:space="0"/>
          <w:left w:val="none" w:color="000000" w:sz="0" w:space="0"/>
          <w:bottom w:val="none" w:color="000000" w:sz="0" w:space="0"/>
          <w:right w:val="none" w:color="000000" w:sz="0" w:space="0"/>
        </w:pBdr>
      </w:pPr>
      <w:r>
        <w:rPr>
          <w:rFonts w:eastAsia="Times New Roman"/>
          <w:b/>
          <w:i/>
          <w:color w:val="000000"/>
          <w:sz w:val="24"/>
        </w:rPr>
        <w:t xml:space="preserve"> </w:t>
      </w:r>
      <w:r>
        <w:rPr>
          <w:rFonts w:ascii="宋体" w:hAnsi="宋体" w:cs="宋体"/>
          <w:b/>
          <w:color w:val="000000"/>
          <w:sz w:val="24"/>
        </w:rPr>
        <w:t xml:space="preserve">三、技术要求</w:t>
      </w:r>
      <w:r/>
    </w:p>
    <w:p>
      <w:pPr>
        <w:pBdr>
          <w:top w:val="none" w:color="000000" w:sz="0" w:space="0"/>
          <w:left w:val="none" w:color="000000" w:sz="0" w:space="0"/>
          <w:bottom w:val="none" w:color="000000" w:sz="0" w:space="0"/>
          <w:right w:val="none" w:color="000000" w:sz="0" w:space="0"/>
        </w:pBdr>
      </w:pPr>
      <w:r>
        <w:rPr>
          <w:rFonts w:eastAsia="Times New Roman"/>
          <w:color w:val="000000"/>
          <w:sz w:val="24"/>
          <w:highlight w:val="yellow"/>
        </w:rPr>
        <w:t xml:space="preserve">1.</w:t>
      </w:r>
      <w:r>
        <w:rPr>
          <w:rFonts w:hint="eastAsia" w:ascii="宋体" w:hAnsi="宋体" w:cs="宋体"/>
          <w:color w:val="000000"/>
          <w:sz w:val="24"/>
        </w:rPr>
        <w:t xml:space="preserve">项目背景</w:t>
      </w:r>
      <w:r/>
    </w:p>
    <w:p>
      <w:pPr>
        <w:contextualSpacing/>
        <w:rPr>
          <w:rFonts w:ascii="宋体" w:hAnsi="宋体" w:cs="仿宋"/>
          <w:sz w:val="24"/>
          <w:szCs w:val="24"/>
        </w:rPr>
      </w:pPr>
      <w:r>
        <w:rPr>
          <w:rFonts w:hint="eastAsia" w:ascii="宋体" w:hAnsi="宋体" w:cs="仿宋"/>
          <w:sz w:val="24"/>
          <w:szCs w:val="24"/>
        </w:rPr>
        <w:t xml:space="preserve">常州市住房公积金管理中心（以下简称中心）目前在用业务办公系统于2014年元旦建成并投入使用，在“十三五”期间不断对该平台进行升级优化，以满足中心业务和服务不断发</w:t>
      </w:r>
      <w:r>
        <w:rPr>
          <w:rFonts w:hint="eastAsia" w:ascii="宋体" w:hAnsi="宋体" w:cs="仿宋"/>
          <w:sz w:val="24"/>
          <w:szCs w:val="24"/>
        </w:rPr>
        <w:t xml:space="preserve">展的需要。目前综合办公平台已经全面覆盖住房公积金日常各类业务，包括归集、提取、贷款、资金结算、会计核算、电子档案、稽核审计、柜面管理、查询报表等，同时集成了行政办公、人事管理、标准化管理、客服管理、信息发布等办公应用。2017 年中心开始全面按照《住房公积金基础数据标准》的要求进行贯标改造，同时接入住建部结算平台，系统底层设计贯彻《住房公积金基础数据标准》（JGJ/T 320-2014），资金结算以全国统一的住房公积金银行结算数据应用系统为主，实现全部业务的资金结算，实现资金、业务和财务信息的自动平衡匹配。</w:t>
      </w:r>
      <w:r/>
    </w:p>
    <w:p>
      <w:pPr>
        <w:contextualSpacing/>
        <w:rPr>
          <w:rFonts w:ascii="宋体" w:hAnsi="宋体" w:cs="仿宋"/>
          <w:sz w:val="24"/>
          <w:szCs w:val="24"/>
        </w:rPr>
      </w:pPr>
      <w:r>
        <w:rPr>
          <w:rFonts w:hint="eastAsia" w:ascii="宋体" w:hAnsi="宋体" w:cs="仿宋"/>
          <w:sz w:val="24"/>
          <w:szCs w:val="24"/>
        </w:rPr>
        <w:t xml:space="preserve">从2017年下半年开始，中心根据住建部下发的《综合服务平台建设导则》，进行综合服务平台的项目建设工作，通过近三年的努力完成了导则要求的主要建设内容。</w:t>
      </w:r>
      <w:r/>
    </w:p>
    <w:p>
      <w:pPr>
        <w:contextualSpacing/>
        <w:rPr>
          <w:rFonts w:ascii="宋体" w:hAnsi="宋体" w:cs="仿宋"/>
          <w:sz w:val="24"/>
          <w:szCs w:val="24"/>
        </w:rPr>
      </w:pPr>
      <w:r>
        <w:rPr>
          <w:rFonts w:hint="eastAsia" w:ascii="宋体" w:hAnsi="宋体" w:cs="仿宋"/>
          <w:sz w:val="24"/>
          <w:szCs w:val="24"/>
        </w:rPr>
        <w:t xml:space="preserve">2019年，中心在借鉴商业银行个人住房贷款业务审贷流程设置经验做法的基础上，开始推进业务集中审批改革，将一线窗口前台受理及初审与后台集中复审（终审）相分离。当年12月，住房公积金征信查询和贷款综合审核实现集中审批（一期），其中上线运行的征信查询前置系统将之前通过人民银行客户端进行征信查询的方式调整为在中心内网系统直接操作，前置系统进行征信的方式。2020年10月集中审批(二期)的建设完成上线运行。</w:t>
      </w:r>
      <w:r/>
    </w:p>
    <w:p>
      <w:pPr>
        <w:contextualSpacing/>
        <w:rPr>
          <w:rFonts w:ascii="宋体" w:hAnsi="宋体" w:cs="仿宋"/>
          <w:sz w:val="24"/>
          <w:szCs w:val="24"/>
        </w:rPr>
      </w:pPr>
      <w:r>
        <w:rPr>
          <w:rFonts w:hint="eastAsia" w:ascii="宋体" w:hAnsi="宋体" w:cs="仿宋"/>
          <w:sz w:val="24"/>
          <w:szCs w:val="24"/>
        </w:rPr>
        <w:t xml:space="preserve">2021年，中心开展灵活就业人员参加住房公积金制度试点，制定了《常州市灵活就业人员参加住房公积金制度试点实施方案》和《常州市灵活就业人员参加住房公积金制度试点管理办法》，改革完善住房公积金制度探索可行路径、积累改革经验。</w:t>
      </w:r>
      <w:r/>
    </w:p>
    <w:p>
      <w:pPr>
        <w:contextualSpacing/>
        <w:rPr>
          <w:rFonts w:ascii="宋体" w:hAnsi="宋体" w:cs="仿宋"/>
          <w:sz w:val="24"/>
          <w:szCs w:val="24"/>
        </w:rPr>
      </w:pPr>
      <w:r>
        <w:rPr>
          <w:rFonts w:hint="eastAsia" w:ascii="宋体" w:hAnsi="宋体" w:cs="仿宋"/>
          <w:sz w:val="24"/>
          <w:szCs w:val="24"/>
        </w:rPr>
        <w:t xml:space="preserve">2022年，中心开展住房公积金业务数据场景化分析系统项目建设，按照“场景驱动，数据赋能”的建设思路，以中心现有数据资源汇集为基础，结合外部成熟平台工具，打造统一规范的数据分析应用支撑体系，实现数据在住房公积金业务场景中的融合分析应用，提升数据分析质量和应用效果，充分释放数据要素价值，赋能业务模式、服务模式和管理模式创新，全面推进中心数字化转型。</w:t>
      </w:r>
      <w:r/>
    </w:p>
    <w:p>
      <w:pPr>
        <w:contextualSpacing/>
        <w:rPr>
          <w:rFonts w:ascii="宋体" w:hAnsi="宋体" w:cs="仿宋"/>
          <w:sz w:val="24"/>
          <w:szCs w:val="24"/>
        </w:rPr>
      </w:pPr>
      <w:r>
        <w:rPr>
          <w:rFonts w:hint="eastAsia" w:ascii="宋体" w:hAnsi="宋体" w:cs="仿宋"/>
          <w:sz w:val="24"/>
          <w:szCs w:val="24"/>
        </w:rPr>
        <w:t xml:space="preserve">中心通过与外部单位主动沟通协调，采用实时数据接口、登录web页面、手工文件传递等方式，先后与市社保信息中心、市房管信息中心、市不动产登记交易中心、市公安局人口支队、人民银行、市财政局、市审计局、市地方企业征信服务公司，以及商业银行等单位实现了信息共享和信息传递。</w:t>
      </w:r>
      <w:r/>
    </w:p>
    <w:p>
      <w:p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中心系统经过多年持续建设，复杂性较高，涉及业务种类繁多，是一个复杂、全面的综合信息系统，具有功能全面、运行环境复杂、外联接口较多、持续工作能力要求高的特点，为了保障信息系统持续稳定高效的运行，需要着重加强维保服务工作。</w:t>
      </w: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服务内容及要求</w:t>
      </w:r>
      <w:r/>
    </w:p>
    <w:p>
      <w:pPr>
        <w:pStyle w:val="658"/>
        <w:spacing w:before="0" w:after="0"/>
        <w:rPr>
          <w:rFonts w:ascii="宋体" w:hAnsi="宋体" w:eastAsia="宋体"/>
        </w:rPr>
      </w:pPr>
      <w:r>
        <w:rPr>
          <w:rFonts w:hint="eastAsia" w:ascii="宋体" w:hAnsi="宋体" w:eastAsia="宋体"/>
        </w:rPr>
        <w:t xml:space="preserve">2.1个人住房贷款“一件事”</w:t>
      </w:r>
      <w:r/>
    </w:p>
    <w:p>
      <w:pPr>
        <w:contextualSpacing/>
        <w:rPr>
          <w:rFonts w:ascii="宋体" w:hAnsi="宋体" w:cs="仿宋"/>
          <w:sz w:val="24"/>
          <w:szCs w:val="24"/>
        </w:rPr>
      </w:pPr>
      <w:r>
        <w:rPr>
          <w:rFonts w:hint="eastAsia" w:ascii="宋体" w:hAnsi="宋体" w:cs="仿宋"/>
          <w:sz w:val="24"/>
          <w:szCs w:val="24"/>
        </w:rPr>
        <w:t xml:space="preserve">根据关于印发《省政府关于进一步优化政务服务提升行政效能推动“高效办成一件事”的实施意见》（苏政发【2024】65号）要求，和《江苏省高效办成住房公积金个人住房贷款购房“一件事”实施方案》征求意见的通知要求，加快推动我省实现缴存人使用住房公积金个人住房贷款购房“一件事”高效办理，进一步提升群众办事满意度和获得感，完成信息系统开发工作。</w:t>
      </w:r>
      <w:r/>
    </w:p>
    <w:p>
      <w:pPr>
        <w:rPr>
          <w:rFonts w:ascii="宋体" w:hAnsi="宋体"/>
          <w:sz w:val="24"/>
          <w:szCs w:val="24"/>
        </w:rPr>
      </w:pPr>
      <w:r>
        <w:rPr>
          <w:rFonts w:hint="eastAsia" w:ascii="宋体" w:hAnsi="宋体"/>
          <w:sz w:val="24"/>
          <w:szCs w:val="24"/>
        </w:rPr>
        <w:t xml:space="preserve">（1）与不动产、公安、民政、人行、税务等部门接口对接，实现和第三方部门数据共享。</w:t>
      </w:r>
      <w:r/>
    </w:p>
    <w:p>
      <w:pPr>
        <w:rPr>
          <w:rFonts w:ascii="宋体" w:hAnsi="宋体"/>
          <w:sz w:val="24"/>
          <w:szCs w:val="24"/>
        </w:rPr>
      </w:pPr>
      <w:r>
        <w:rPr>
          <w:rFonts w:hint="eastAsia" w:ascii="宋体" w:hAnsi="宋体"/>
          <w:sz w:val="24"/>
          <w:szCs w:val="24"/>
        </w:rPr>
        <w:t xml:space="preserve">（2）改造现有贷款发放模块（线上、线下渠道），根据场景需求调用不动产实现在线抵押，调用市数据局、公安、民政等接口获取电子证照。调用核查接口实现自动核验。</w:t>
      </w:r>
      <w:r/>
    </w:p>
    <w:p>
      <w:pPr>
        <w:pStyle w:val="658"/>
        <w:numPr>
          <w:ilvl w:val="5"/>
          <w:numId w:val="0"/>
        </w:numPr>
        <w:spacing w:before="0" w:after="0"/>
        <w:rPr>
          <w:rFonts w:ascii="宋体" w:hAnsi="宋体" w:eastAsia="宋体"/>
        </w:rPr>
      </w:pPr>
      <w:r>
        <w:rPr>
          <w:rFonts w:hint="eastAsia" w:ascii="宋体" w:hAnsi="宋体" w:eastAsia="宋体"/>
        </w:rPr>
        <w:t xml:space="preserve">2.2企业迁移登记“一件事”</w:t>
      </w:r>
      <w:r/>
    </w:p>
    <w:p>
      <w:pPr>
        <w:rPr>
          <w:rFonts w:ascii="宋体" w:hAnsi="宋体"/>
          <w:sz w:val="24"/>
          <w:szCs w:val="24"/>
        </w:rPr>
      </w:pPr>
      <w:r>
        <w:rPr>
          <w:rFonts w:hint="eastAsia" w:ascii="宋体" w:hAnsi="宋体"/>
          <w:sz w:val="24"/>
          <w:szCs w:val="24"/>
        </w:rPr>
        <w:t xml:space="preserve">根据《关于印发江苏省高效办成企业迁移登记“一件事”实施方案》（苏市监</w:t>
      </w:r>
      <w:r>
        <w:rPr>
          <w:rFonts w:ascii="宋体" w:hAnsi="宋体"/>
          <w:sz w:val="24"/>
          <w:szCs w:val="24"/>
        </w:rPr>
        <w:t xml:space="preserve">【202</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198号）的通知要求，将群众身后事项办理“多部门”“多流程”高效整合为集成办理的“一件事”。实行“一次告知、一表申请、一套材料、一窗（端）受理、一次提交、一网办理”。推进线上线下融合，实行一站式服务，切实解决迁移登记的痛点、难点、堵点问题，进一步提高政务服务效能，降低制度性交易成本，促进经营主体高质量发展，全面提升群众满意度。中心根据该通知要求</w:t>
      </w:r>
      <w:r>
        <w:rPr>
          <w:rFonts w:ascii="宋体" w:hAnsi="宋体"/>
          <w:sz w:val="24"/>
          <w:szCs w:val="24"/>
        </w:rPr>
        <w:t xml:space="preserve">完成信息系统开发工作</w:t>
      </w:r>
      <w:r>
        <w:rPr>
          <w:rFonts w:hint="eastAsia" w:ascii="宋体" w:hAnsi="宋体"/>
          <w:sz w:val="24"/>
          <w:szCs w:val="24"/>
        </w:rPr>
        <w:t xml:space="preserve">。</w:t>
      </w:r>
      <w:r/>
    </w:p>
    <w:p>
      <w:pPr>
        <w:rPr>
          <w:rFonts w:ascii="宋体" w:hAnsi="宋体"/>
          <w:sz w:val="24"/>
          <w:szCs w:val="24"/>
        </w:rPr>
      </w:pPr>
      <w:r>
        <w:rPr>
          <w:rFonts w:hint="eastAsia" w:ascii="宋体" w:hAnsi="宋体"/>
          <w:sz w:val="24"/>
          <w:szCs w:val="24"/>
        </w:rPr>
        <w:t xml:space="preserve">（1）根据省平台接口文档完成企业迁移“一件事”接口开发。</w:t>
      </w:r>
      <w:r/>
    </w:p>
    <w:p>
      <w:pPr>
        <w:contextualSpacing/>
        <w:rPr>
          <w:rFonts w:ascii="宋体" w:hAnsi="宋体"/>
          <w:sz w:val="24"/>
          <w:szCs w:val="24"/>
        </w:rPr>
      </w:pPr>
      <w:r>
        <w:rPr>
          <w:rFonts w:hint="eastAsia" w:ascii="宋体" w:hAnsi="宋体"/>
          <w:sz w:val="24"/>
          <w:szCs w:val="24"/>
        </w:rPr>
        <w:t xml:space="preserve">（2）核心系统新增企业迁移一件事功能，接收省平台办件数据，实现单位预开户或者单位基本变更，结果反馈给政务平台。</w:t>
      </w:r>
      <w:r/>
    </w:p>
    <w:p>
      <w:pPr>
        <w:pStyle w:val="658"/>
        <w:numPr>
          <w:ilvl w:val="5"/>
          <w:numId w:val="0"/>
        </w:numPr>
        <w:spacing w:before="0" w:after="0"/>
        <w:rPr>
          <w:rFonts w:ascii="宋体" w:hAnsi="宋体" w:eastAsia="宋体"/>
        </w:rPr>
      </w:pPr>
      <w:r>
        <w:rPr>
          <w:rFonts w:hint="eastAsia" w:ascii="宋体" w:hAnsi="宋体" w:eastAsia="宋体"/>
        </w:rPr>
        <w:t xml:space="preserve">2.3社会保障卡居民服务“一件事”</w:t>
      </w:r>
      <w:r/>
    </w:p>
    <w:p>
      <w:pPr>
        <w:contextualSpacing/>
        <w:rPr>
          <w:rFonts w:ascii="宋体" w:hAnsi="宋体" w:cs="仿宋"/>
          <w:sz w:val="24"/>
          <w:szCs w:val="24"/>
        </w:rPr>
      </w:pPr>
      <w:r>
        <w:rPr>
          <w:rFonts w:hint="eastAsia" w:ascii="宋体" w:hAnsi="宋体" w:cs="仿宋"/>
          <w:sz w:val="24"/>
          <w:szCs w:val="24"/>
        </w:rPr>
        <w:t xml:space="preserve">根据《国务院关于进一步优化政务服务提升行政效能推动“高效办成一件事”的指导意见》(国发〔2024〕3号)要求，社会保障卡居民服务“一件事”被列为2024年重点事项。我省对该项工作高度重视，为更加便民高效服务，把住房公积金增列其中，进行集成办理，并在《省人力资源社会保障厅等十部门印发江苏省社会保障卡卡居民服务“一件事”实施方案的通知》(苏人社函〔2024〕167号)中，对住房公积金提出了具体目标要求。</w:t>
      </w:r>
      <w:r/>
    </w:p>
    <w:p>
      <w:pPr>
        <w:contextualSpacing/>
        <w:rPr>
          <w:rFonts w:ascii="宋体" w:hAnsi="宋体" w:cs="仿宋"/>
          <w:sz w:val="24"/>
          <w:szCs w:val="24"/>
        </w:rPr>
      </w:pPr>
      <w:r>
        <w:rPr>
          <w:rFonts w:hint="eastAsia" w:ascii="宋体" w:hAnsi="宋体" w:cs="仿宋"/>
          <w:sz w:val="24"/>
          <w:szCs w:val="24"/>
        </w:rPr>
        <w:t xml:space="preserve">结合我市实际，需要对核心信息系统做适应性改造，根据读取的社保卡身份信息进行缴存开户、个人提取、还款、单据打印等公积金场景使用。</w:t>
      </w:r>
      <w:r/>
    </w:p>
    <w:p>
      <w:pPr>
        <w:pStyle w:val="658"/>
        <w:numPr>
          <w:ilvl w:val="5"/>
          <w:numId w:val="0"/>
        </w:numPr>
        <w:spacing w:before="0" w:after="0"/>
        <w:rPr>
          <w:rFonts w:ascii="宋体" w:hAnsi="宋体" w:eastAsia="宋体"/>
        </w:rPr>
      </w:pPr>
      <w:r>
        <w:rPr>
          <w:rFonts w:hint="eastAsia" w:ascii="宋体" w:hAnsi="宋体" w:eastAsia="宋体"/>
        </w:rPr>
        <w:t xml:space="preserve">2.4住房公积金个人事项“亮码可办”</w:t>
      </w:r>
      <w:r/>
    </w:p>
    <w:p>
      <w:pPr>
        <w:rPr>
          <w:rFonts w:ascii="宋体" w:hAnsi="宋体"/>
          <w:sz w:val="24"/>
          <w:szCs w:val="24"/>
        </w:rPr>
      </w:pPr>
      <w:r>
        <w:rPr>
          <w:rFonts w:hint="eastAsia" w:ascii="宋体" w:hAnsi="宋体"/>
          <w:sz w:val="24"/>
          <w:szCs w:val="24"/>
        </w:rPr>
        <w:t xml:space="preserve">依据《关于整合住房公积金个人证明事项推动“亮码可办”工作的通知》（建办金【2023】29号）文件要求，从方便群众办事角度，精简住房公积金业务办理要求、压缩办理时限、创新服务模式，推送住房公积金数字化发展，充分发挥全国住房公积金小程序和全国住房公积金监管服务平台支撑作用，进一步提升住房公积金服务标准化、规范化、便利化水平，全面实行个人证明事项“亮码可办”。</w:t>
      </w:r>
      <w:r/>
    </w:p>
    <w:p>
      <w:pPr>
        <w:rPr>
          <w:rFonts w:ascii="宋体" w:hAnsi="宋体"/>
          <w:sz w:val="24"/>
          <w:szCs w:val="24"/>
        </w:rPr>
      </w:pPr>
      <w:r>
        <w:rPr>
          <w:rFonts w:hint="eastAsia" w:ascii="宋体" w:hAnsi="宋体"/>
          <w:sz w:val="24"/>
          <w:szCs w:val="24"/>
        </w:rPr>
        <w:t xml:space="preserve">（1）通过住建部共享平台接口获取住房公积金业务办理个人信息表、电子码历史查询记录。</w:t>
      </w:r>
      <w:r/>
    </w:p>
    <w:p>
      <w:pPr>
        <w:rPr>
          <w:rFonts w:ascii="宋体" w:hAnsi="宋体"/>
          <w:sz w:val="24"/>
          <w:szCs w:val="24"/>
        </w:rPr>
      </w:pPr>
      <w:r>
        <w:rPr>
          <w:rFonts w:hint="eastAsia" w:ascii="宋体" w:hAnsi="宋体"/>
          <w:sz w:val="24"/>
          <w:szCs w:val="24"/>
        </w:rPr>
        <w:t xml:space="preserve">（2）公积金核心系统增加个人信息表查询、下载，电子码历史查询功能，通过调用住建部共享平台接口数据数据。</w:t>
      </w:r>
      <w:r/>
    </w:p>
    <w:p>
      <w:pPr>
        <w:pStyle w:val="658"/>
        <w:numPr>
          <w:ilvl w:val="5"/>
          <w:numId w:val="0"/>
        </w:numPr>
        <w:spacing w:before="0" w:after="0"/>
        <w:rPr>
          <w:rFonts w:ascii="宋体" w:hAnsi="宋体" w:eastAsia="宋体"/>
        </w:rPr>
      </w:pPr>
      <w:r>
        <w:rPr>
          <w:rFonts w:hint="eastAsia" w:ascii="宋体" w:hAnsi="宋体" w:eastAsia="宋体"/>
        </w:rPr>
        <w:t xml:space="preserve">2.5网络化管理系统改版</w:t>
      </w:r>
      <w:r/>
    </w:p>
    <w:p>
      <w:pPr>
        <w:rPr>
          <w:rFonts w:ascii="宋体" w:hAnsi="宋体"/>
          <w:sz w:val="24"/>
          <w:szCs w:val="24"/>
        </w:rPr>
      </w:pPr>
      <w:r>
        <w:rPr>
          <w:rFonts w:hint="eastAsia" w:ascii="宋体" w:hAnsi="宋体"/>
          <w:sz w:val="24"/>
          <w:szCs w:val="24"/>
        </w:rPr>
        <w:t xml:space="preserve">对现有的网格化管理系统与智慧公积金系统实现改造集成，采用统一用户管理体系，对企业相关信息系统统一管理，实现网格化管理与智慧公积金系统一体化融合建设。</w:t>
      </w:r>
      <w:r/>
    </w:p>
    <w:p>
      <w:pPr>
        <w:rPr>
          <w:rFonts w:ascii="宋体" w:hAnsi="宋体"/>
          <w:sz w:val="24"/>
          <w:szCs w:val="24"/>
        </w:rPr>
      </w:pPr>
      <w:r/>
      <w:bookmarkStart w:id="0" w:name="_Toc137822166"/>
      <w:r>
        <w:rPr>
          <w:rFonts w:hint="eastAsia" w:ascii="宋体" w:hAnsi="宋体"/>
          <w:sz w:val="24"/>
          <w:szCs w:val="24"/>
        </w:rPr>
        <w:t xml:space="preserve">1.对标企业相关信息查询</w:t>
      </w:r>
      <w:bookmarkEnd w:id="0"/>
      <w:r/>
      <w:r/>
    </w:p>
    <w:p>
      <w:pPr>
        <w:rPr>
          <w:rFonts w:ascii="宋体" w:hAnsi="宋体"/>
          <w:sz w:val="24"/>
          <w:szCs w:val="24"/>
        </w:rPr>
      </w:pPr>
      <w:r>
        <w:rPr>
          <w:rFonts w:hint="eastAsia" w:ascii="宋体" w:hAnsi="宋体"/>
          <w:sz w:val="24"/>
          <w:szCs w:val="24"/>
        </w:rPr>
        <w:t xml:space="preserve">提供区域内或具体企业的搜索功能，可根据企业名称，企业状态，所在区域，企业评级，特色情况，公积金社保汇缴人数差额，公积金社保汇缴人数比例，查询出需要重点关注的企业，并提供批量导出功能，相关数据每月更新一次，保证实时性，提供差额人数的统计。</w:t>
      </w:r>
      <w:r/>
    </w:p>
    <w:p>
      <w:pPr>
        <w:rPr>
          <w:rFonts w:ascii="宋体" w:hAnsi="宋体"/>
          <w:sz w:val="24"/>
          <w:szCs w:val="24"/>
        </w:rPr>
      </w:pPr>
      <w:r>
        <w:rPr>
          <w:rFonts w:hint="eastAsia" w:ascii="宋体" w:hAnsi="宋体"/>
          <w:sz w:val="24"/>
          <w:szCs w:val="24"/>
        </w:rPr>
        <w:t xml:space="preserve">提供企业跳转地图功能，可单个跳转地图也可批量跳转地图，方便查看查询出的企业的具体位置信息。</w:t>
      </w:r>
      <w:r/>
    </w:p>
    <w:p>
      <w:pPr>
        <w:rPr>
          <w:rFonts w:ascii="宋体" w:hAnsi="宋体"/>
          <w:sz w:val="24"/>
          <w:szCs w:val="24"/>
        </w:rPr>
      </w:pPr>
      <w:r>
        <w:rPr>
          <w:rFonts w:hint="eastAsia" w:ascii="宋体" w:hAnsi="宋体"/>
          <w:sz w:val="24"/>
          <w:szCs w:val="24"/>
        </w:rPr>
        <w:t xml:space="preserve">提供每个企业每个月具体的公积金汇缴信息，包括公积金缴纳人数，公积金月缴额，人数占比，差额人数，公积金欠缴情况，纳税情况，可查看详情。</w:t>
      </w:r>
      <w:r/>
    </w:p>
    <w:p>
      <w:pPr>
        <w:rPr>
          <w:rFonts w:ascii="宋体" w:hAnsi="宋体"/>
          <w:sz w:val="24"/>
          <w:szCs w:val="24"/>
        </w:rPr>
      </w:pPr>
      <w:r>
        <w:rPr>
          <w:rFonts w:hint="eastAsia" w:ascii="宋体" w:hAnsi="宋体"/>
          <w:sz w:val="24"/>
          <w:szCs w:val="24"/>
        </w:rPr>
        <w:t xml:space="preserve">提供对应企业联系信息和联系人的编辑功能，和自定义标签功能。</w:t>
      </w:r>
      <w:r/>
    </w:p>
    <w:p>
      <w:pPr>
        <w:rPr>
          <w:rFonts w:ascii="宋体" w:hAnsi="宋体"/>
          <w:sz w:val="24"/>
          <w:szCs w:val="24"/>
        </w:rPr>
      </w:pPr>
      <w:r>
        <w:rPr>
          <w:rFonts w:hint="eastAsia" w:ascii="宋体" w:hAnsi="宋体"/>
          <w:sz w:val="24"/>
          <w:szCs w:val="24"/>
        </w:rPr>
        <w:t xml:space="preserve">提供公积金缴纳信息报表，可按照，按照市、区县、镇(街道)等区域等条件查询对应区域的公积金缴纳信息的统计图表。</w:t>
      </w:r>
      <w:r/>
    </w:p>
    <w:p>
      <w:pPr>
        <w:rPr>
          <w:rFonts w:ascii="宋体" w:hAnsi="宋体"/>
          <w:sz w:val="24"/>
          <w:szCs w:val="24"/>
        </w:rPr>
      </w:pPr>
      <w:r>
        <w:rPr>
          <w:rFonts w:hint="eastAsia" w:ascii="宋体" w:hAnsi="宋体"/>
          <w:sz w:val="24"/>
          <w:szCs w:val="24"/>
        </w:rPr>
        <w:t xml:space="preserve">提供查询后下发选中的企业作为扩面企业的功能。</w:t>
      </w:r>
      <w:r/>
    </w:p>
    <w:p>
      <w:pPr>
        <w:rPr>
          <w:rFonts w:ascii="宋体" w:hAnsi="宋体"/>
          <w:sz w:val="24"/>
          <w:szCs w:val="24"/>
        </w:rPr>
      </w:pPr>
      <w:r/>
      <w:bookmarkStart w:id="1" w:name="_Toc137822167"/>
      <w:r>
        <w:rPr>
          <w:rFonts w:hint="eastAsia" w:ascii="宋体" w:hAnsi="宋体"/>
          <w:sz w:val="24"/>
          <w:szCs w:val="24"/>
        </w:rPr>
        <w:t xml:space="preserve">2.扩面优质企业推送</w:t>
      </w:r>
      <w:bookmarkEnd w:id="1"/>
      <w:r/>
      <w:r/>
    </w:p>
    <w:p>
      <w:pPr>
        <w:rPr>
          <w:rFonts w:ascii="宋体" w:hAnsi="宋体"/>
          <w:sz w:val="24"/>
          <w:szCs w:val="24"/>
        </w:rPr>
      </w:pPr>
      <w:r>
        <w:rPr>
          <w:rFonts w:hint="eastAsia" w:ascii="宋体" w:hAnsi="宋体"/>
          <w:sz w:val="24"/>
          <w:szCs w:val="24"/>
        </w:rPr>
        <w:t xml:space="preserve">由业务处分配指定的企业产生，业务处推送给公积金分中心，分中心再分配至网格员。</w:t>
      </w:r>
      <w:r/>
    </w:p>
    <w:p>
      <w:pPr>
        <w:rPr>
          <w:rFonts w:ascii="宋体" w:hAnsi="宋体"/>
          <w:sz w:val="24"/>
          <w:szCs w:val="24"/>
        </w:rPr>
      </w:pPr>
      <w:r>
        <w:rPr>
          <w:rFonts w:hint="eastAsia" w:ascii="宋体" w:hAnsi="宋体"/>
          <w:sz w:val="24"/>
          <w:szCs w:val="24"/>
        </w:rPr>
        <w:t xml:space="preserve">提供扩面企业走访情况的报表，可以按地区和人员查询。</w:t>
      </w:r>
      <w:r/>
    </w:p>
    <w:p>
      <w:pPr>
        <w:rPr>
          <w:rFonts w:ascii="宋体" w:hAnsi="宋体"/>
          <w:sz w:val="24"/>
          <w:szCs w:val="24"/>
        </w:rPr>
      </w:pPr>
      <w:r/>
      <w:bookmarkStart w:id="2" w:name="_Toc137822170"/>
      <w:r>
        <w:rPr>
          <w:rFonts w:hint="eastAsia" w:ascii="宋体" w:hAnsi="宋体"/>
          <w:sz w:val="24"/>
          <w:szCs w:val="24"/>
        </w:rPr>
        <w:t xml:space="preserve">3.住房公积金信用评级</w:t>
      </w:r>
      <w:bookmarkEnd w:id="2"/>
      <w:r/>
      <w:r/>
    </w:p>
    <w:p>
      <w:pPr>
        <w:rPr>
          <w:rFonts w:ascii="宋体" w:hAnsi="宋体"/>
          <w:sz w:val="24"/>
          <w:szCs w:val="24"/>
        </w:rPr>
      </w:pPr>
      <w:r>
        <w:rPr>
          <w:rFonts w:hint="eastAsia" w:ascii="宋体" w:hAnsi="宋体"/>
          <w:sz w:val="24"/>
          <w:szCs w:val="24"/>
        </w:rPr>
        <w:t xml:space="preserve">公积金中心提供企业的信用评价办法，系统根据公积金中心提供的评价方规则开发企业评价功能。</w:t>
      </w:r>
      <w:r/>
    </w:p>
    <w:p>
      <w:pPr>
        <w:pStyle w:val="658"/>
        <w:numPr>
          <w:ilvl w:val="5"/>
          <w:numId w:val="0"/>
        </w:numPr>
        <w:spacing w:before="0" w:after="0"/>
        <w:rPr>
          <w:rFonts w:ascii="宋体" w:hAnsi="宋体" w:eastAsia="宋体"/>
        </w:rPr>
      </w:pPr>
      <w:r>
        <w:rPr>
          <w:rFonts w:hint="eastAsia" w:ascii="宋体" w:hAnsi="宋体" w:eastAsia="宋体"/>
        </w:rPr>
        <w:t xml:space="preserve">2.6智慧公积金数字经办人</w:t>
      </w:r>
      <w:r/>
    </w:p>
    <w:p>
      <w:pPr>
        <w:pStyle w:val="923"/>
        <w:ind w:firstLine="0"/>
        <w:spacing w:before="0" w:after="0" w:line="240" w:lineRule="auto"/>
        <w:rPr>
          <w:rFonts w:ascii="宋体" w:hAnsi="宋体"/>
        </w:rPr>
      </w:pPr>
      <w:r>
        <w:rPr>
          <w:rFonts w:hint="eastAsia" w:ascii="宋体" w:hAnsi="宋体"/>
        </w:rPr>
        <w:t xml:space="preserve">推出智慧公积金数字经办人，打造成集自主学习、在线咨询、语音交互、智能导办等多项功能于一体，为市民提供了全天候、全领域、多渠道的智能化咨询及导办服务，全面提升公积金服务“智”与“质”。</w:t>
      </w:r>
      <w:r/>
    </w:p>
    <w:p>
      <w:pPr>
        <w:pStyle w:val="923"/>
        <w:ind w:firstLine="0"/>
        <w:spacing w:before="0" w:after="0" w:line="240" w:lineRule="auto"/>
        <w:rPr>
          <w:rFonts w:ascii="宋体" w:hAnsi="宋体"/>
        </w:rPr>
      </w:pPr>
      <w:r>
        <w:rPr>
          <w:rFonts w:hint="eastAsia" w:ascii="宋体" w:hAnsi="宋体"/>
        </w:rPr>
        <w:t xml:space="preserve">（一）数字员工管理</w:t>
      </w:r>
      <w:r/>
    </w:p>
    <w:p>
      <w:pPr>
        <w:contextualSpacing/>
        <w:rPr>
          <w:rFonts w:ascii="宋体" w:hAnsi="宋体" w:cs="仿宋"/>
          <w:sz w:val="24"/>
          <w:szCs w:val="24"/>
        </w:rPr>
      </w:pPr>
      <w:r>
        <w:rPr>
          <w:rFonts w:hint="eastAsia" w:ascii="宋体" w:hAnsi="宋体" w:cs="仿宋"/>
          <w:sz w:val="24"/>
          <w:szCs w:val="24"/>
        </w:rPr>
        <w:t xml:space="preserve">1.数字员工列表</w:t>
      </w:r>
      <w:r/>
    </w:p>
    <w:p>
      <w:pPr>
        <w:pStyle w:val="923"/>
        <w:ind w:firstLine="0"/>
        <w:spacing w:before="0" w:after="0" w:line="240" w:lineRule="auto"/>
        <w:rPr>
          <w:rFonts w:ascii="宋体" w:hAnsi="宋体"/>
        </w:rPr>
      </w:pPr>
      <w:r>
        <w:rPr>
          <w:rFonts w:hint="eastAsia" w:ascii="宋体" w:hAnsi="宋体"/>
        </w:rPr>
        <w:t xml:space="preserve">支持按业务场景快速创建多个数字员工，每位员工拥有独立的形象、音色、知识库和交互逻辑，互不干扰，实现“一岗一策”的精细化服务。</w:t>
      </w:r>
      <w:r/>
    </w:p>
    <w:p>
      <w:pPr>
        <w:contextualSpacing/>
        <w:rPr>
          <w:rFonts w:ascii="宋体" w:hAnsi="宋体" w:cs="仿宋"/>
          <w:sz w:val="24"/>
          <w:szCs w:val="24"/>
        </w:rPr>
      </w:pPr>
      <w:r>
        <w:rPr>
          <w:rFonts w:hint="eastAsia" w:ascii="宋体" w:hAnsi="宋体" w:cs="仿宋"/>
          <w:sz w:val="24"/>
          <w:szCs w:val="24"/>
        </w:rPr>
        <w:t xml:space="preserve">2.数据展示</w:t>
      </w:r>
      <w:r/>
    </w:p>
    <w:p>
      <w:pPr>
        <w:pStyle w:val="923"/>
        <w:ind w:firstLine="0"/>
        <w:spacing w:before="0" w:after="0" w:line="240" w:lineRule="auto"/>
        <w:rPr>
          <w:rFonts w:ascii="宋体" w:hAnsi="宋体"/>
        </w:rPr>
      </w:pPr>
      <w:r>
        <w:rPr>
          <w:rFonts w:hint="eastAsia" w:ascii="宋体" w:hAnsi="宋体"/>
        </w:rPr>
        <w:t xml:space="preserve">数据统计：通过可视化仪表盘实时展示会话次数、对话轮次、总时长以及高峰时段分布，帮助运营人员一眼看懂用户活跃规律。</w:t>
      </w:r>
      <w:r/>
    </w:p>
    <w:p>
      <w:pPr>
        <w:pStyle w:val="923"/>
        <w:ind w:firstLine="0"/>
        <w:spacing w:before="0" w:after="0" w:line="240" w:lineRule="auto"/>
        <w:rPr>
          <w:rFonts w:ascii="宋体" w:hAnsi="宋体"/>
        </w:rPr>
      </w:pPr>
      <w:r>
        <w:rPr>
          <w:rFonts w:hint="eastAsia" w:ascii="宋体" w:hAnsi="宋体"/>
        </w:rPr>
        <w:t xml:space="preserve">交互历史记录：可按日期、关键词快速检索任意数字员工的历史会话，支持对话内容回放、问题标注与质量反馈，持续优化AI应答准确率。</w:t>
      </w:r>
      <w:r/>
    </w:p>
    <w:p>
      <w:pPr>
        <w:contextualSpacing/>
        <w:rPr>
          <w:rFonts w:ascii="宋体" w:hAnsi="宋体" w:cs="仿宋"/>
          <w:sz w:val="24"/>
          <w:szCs w:val="24"/>
        </w:rPr>
      </w:pPr>
      <w:r>
        <w:rPr>
          <w:rFonts w:hint="eastAsia" w:ascii="宋体" w:hAnsi="宋体" w:cs="仿宋"/>
          <w:sz w:val="24"/>
          <w:szCs w:val="24"/>
        </w:rPr>
        <w:t xml:space="preserve">3.数字员工设置</w:t>
      </w:r>
      <w:r/>
    </w:p>
    <w:p>
      <w:pPr>
        <w:pStyle w:val="923"/>
        <w:ind w:firstLine="0"/>
        <w:spacing w:before="0" w:after="0" w:line="240" w:lineRule="auto"/>
        <w:rPr>
          <w:rFonts w:ascii="宋体" w:hAnsi="宋体"/>
        </w:rPr>
      </w:pPr>
      <w:r>
        <w:rPr>
          <w:rFonts w:hint="eastAsia" w:ascii="宋体" w:hAnsi="宋体"/>
        </w:rPr>
        <w:t xml:space="preserve">简单填写场景名称、场景说明、欢迎语、示例问题并一键启用/停用，即可让数字员工立即上线或下线，配置过程不超过3分钟。</w:t>
      </w:r>
      <w:r/>
    </w:p>
    <w:p>
      <w:pPr>
        <w:contextualSpacing/>
        <w:rPr>
          <w:rFonts w:ascii="宋体" w:hAnsi="宋体" w:cs="仿宋"/>
          <w:sz w:val="24"/>
          <w:szCs w:val="24"/>
        </w:rPr>
      </w:pPr>
      <w:r>
        <w:rPr>
          <w:rFonts w:hint="eastAsia" w:ascii="宋体" w:hAnsi="宋体" w:cs="仿宋"/>
          <w:sz w:val="24"/>
          <w:szCs w:val="24"/>
        </w:rPr>
        <w:t xml:space="preserve">4.交互能力</w:t>
      </w:r>
      <w:r/>
    </w:p>
    <w:p>
      <w:pPr>
        <w:pStyle w:val="923"/>
        <w:ind w:firstLine="0"/>
        <w:spacing w:before="0" w:after="0" w:line="240" w:lineRule="auto"/>
        <w:rPr>
          <w:rFonts w:ascii="宋体" w:hAnsi="宋体"/>
        </w:rPr>
      </w:pPr>
      <w:r>
        <w:rPr>
          <w:rFonts w:hint="eastAsia" w:ascii="宋体" w:hAnsi="宋体"/>
        </w:rPr>
        <w:t xml:space="preserve">一键绑定专属知识库，支持 Word/Excel/PDF 批量导入、在线编辑与新增；修改后秒级生效，确保答案实时更新。</w:t>
      </w:r>
      <w:r/>
    </w:p>
    <w:p>
      <w:pPr>
        <w:contextualSpacing/>
        <w:rPr>
          <w:rFonts w:ascii="宋体" w:hAnsi="宋体" w:cs="仿宋"/>
          <w:sz w:val="24"/>
          <w:szCs w:val="24"/>
        </w:rPr>
      </w:pPr>
      <w:r>
        <w:rPr>
          <w:rFonts w:hint="eastAsia" w:ascii="宋体" w:hAnsi="宋体" w:cs="仿宋"/>
          <w:sz w:val="24"/>
          <w:szCs w:val="24"/>
        </w:rPr>
        <w:t xml:space="preserve">（二）数字员工实时交互</w:t>
      </w:r>
      <w:r/>
    </w:p>
    <w:p>
      <w:pPr>
        <w:contextualSpacing/>
        <w:rPr>
          <w:rFonts w:ascii="宋体" w:hAnsi="宋体" w:cs="仿宋"/>
          <w:sz w:val="24"/>
          <w:szCs w:val="24"/>
        </w:rPr>
      </w:pPr>
      <w:r>
        <w:rPr>
          <w:rFonts w:hint="eastAsia" w:ascii="宋体" w:hAnsi="宋体" w:cs="仿宋"/>
          <w:sz w:val="24"/>
          <w:szCs w:val="24"/>
        </w:rPr>
        <w:t xml:space="preserve">1.场景列表</w:t>
      </w:r>
      <w:r/>
    </w:p>
    <w:p>
      <w:pPr>
        <w:contextualSpacing/>
        <w:rPr>
          <w:rFonts w:ascii="宋体" w:hAnsi="宋体" w:cs="仿宋"/>
          <w:sz w:val="24"/>
          <w:szCs w:val="24"/>
        </w:rPr>
      </w:pPr>
      <w:r>
        <w:rPr>
          <w:rFonts w:hint="eastAsia" w:ascii="宋体" w:hAnsi="宋体" w:cs="仿宋"/>
          <w:sz w:val="24"/>
          <w:szCs w:val="24"/>
        </w:rPr>
        <w:t xml:space="preserve">在大屏首页按场景标签快速检索并启用对应数字员工，支持热门推荐与最近使用排序，访客 5 秒内即可开始互动。</w:t>
      </w:r>
      <w:r/>
    </w:p>
    <w:p>
      <w:pPr>
        <w:contextualSpacing/>
        <w:rPr>
          <w:rFonts w:ascii="宋体" w:hAnsi="宋体" w:cs="仿宋"/>
          <w:sz w:val="24"/>
          <w:szCs w:val="24"/>
        </w:rPr>
      </w:pPr>
      <w:r>
        <w:rPr>
          <w:rFonts w:hint="eastAsia" w:ascii="宋体" w:hAnsi="宋体" w:cs="仿宋"/>
          <w:sz w:val="24"/>
          <w:szCs w:val="24"/>
        </w:rPr>
        <w:t xml:space="preserve">2.人机交互页面</w:t>
      </w:r>
      <w:r/>
    </w:p>
    <w:p>
      <w:pPr>
        <w:contextualSpacing/>
        <w:rPr>
          <w:rFonts w:ascii="宋体" w:hAnsi="宋体" w:cs="仿宋"/>
          <w:sz w:val="24"/>
          <w:szCs w:val="24"/>
        </w:rPr>
      </w:pPr>
      <w:r>
        <w:rPr>
          <w:rFonts w:hint="eastAsia" w:ascii="宋体" w:hAnsi="宋体" w:cs="仿宋"/>
          <w:sz w:val="24"/>
          <w:szCs w:val="24"/>
        </w:rPr>
        <w:t xml:space="preserve">导航与组件：大屏端同步显示预设菜单导航，结合 AI 思维链技术，根据用户提问动态推荐下一步操作，让对话像人工一样自然流畅。</w:t>
      </w:r>
      <w:r/>
    </w:p>
    <w:p>
      <w:pPr>
        <w:contextualSpacing/>
        <w:rPr>
          <w:rFonts w:ascii="宋体" w:hAnsi="宋体" w:cs="仿宋"/>
          <w:sz w:val="24"/>
          <w:szCs w:val="24"/>
        </w:rPr>
      </w:pPr>
      <w:r>
        <w:rPr>
          <w:rFonts w:hint="eastAsia" w:ascii="宋体" w:hAnsi="宋体" w:cs="仿宋"/>
          <w:sz w:val="24"/>
          <w:szCs w:val="24"/>
        </w:rPr>
        <w:t xml:space="preserve">TTS 语音播报：大模型先秒级检索知识库并生成答案，数字员工立即用真人般音色朗读，语速、停顿、重音自动匹配内容，让信息听得懂、记得住、不枯燥。</w:t>
      </w:r>
      <w:r/>
    </w:p>
    <w:p>
      <w:pPr>
        <w:contextualSpacing/>
        <w:rPr>
          <w:rFonts w:ascii="宋体" w:hAnsi="宋体" w:cs="仿宋"/>
          <w:sz w:val="24"/>
          <w:szCs w:val="24"/>
        </w:rPr>
      </w:pPr>
      <w:r>
        <w:rPr>
          <w:rFonts w:hint="eastAsia" w:ascii="宋体" w:hAnsi="宋体" w:cs="仿宋"/>
          <w:sz w:val="24"/>
          <w:szCs w:val="24"/>
        </w:rPr>
        <w:t xml:space="preserve">语音识别：除内置麦克风外，支持手机扫码拾音及蓝牙麦克风扩展，自动降噪增益，嘈杂环境也能精准识别访客语音。</w:t>
      </w:r>
      <w:r/>
    </w:p>
    <w:p>
      <w:pPr>
        <w:contextualSpacing/>
        <w:rPr>
          <w:rFonts w:ascii="宋体" w:hAnsi="宋体" w:cs="仿宋"/>
          <w:sz w:val="24"/>
          <w:szCs w:val="24"/>
        </w:rPr>
      </w:pPr>
      <w:r>
        <w:rPr>
          <w:rFonts w:hint="eastAsia" w:ascii="宋体" w:hAnsi="宋体" w:cs="仿宋"/>
          <w:sz w:val="24"/>
          <w:szCs w:val="24"/>
        </w:rPr>
        <w:t xml:space="preserve">会话模式：同一界面可切换“自由对话、引导问答、菜单点击”三种交互模式，满足不同年龄层和复杂度的业务需求。</w:t>
      </w:r>
      <w:r/>
    </w:p>
    <w:p>
      <w:pPr>
        <w:contextualSpacing/>
        <w:rPr>
          <w:rFonts w:ascii="宋体" w:hAnsi="宋体" w:cs="仿宋"/>
          <w:sz w:val="24"/>
          <w:szCs w:val="24"/>
        </w:rPr>
      </w:pPr>
      <w:r>
        <w:rPr>
          <w:rFonts w:hint="eastAsia" w:ascii="宋体" w:hAnsi="宋体" w:cs="仿宋"/>
          <w:sz w:val="24"/>
          <w:szCs w:val="24"/>
        </w:rPr>
        <w:t xml:space="preserve">手工打断：访客在任意时刻可通过点击屏幕控件，打断数字员工发言，立即进入下一轮对话，体验更贴近真人交流。</w:t>
      </w:r>
      <w:r/>
    </w:p>
    <w:p>
      <w:pPr>
        <w:contextualSpacing/>
        <w:rPr>
          <w:rFonts w:ascii="宋体" w:hAnsi="宋体" w:cs="仿宋"/>
          <w:sz w:val="24"/>
          <w:szCs w:val="24"/>
        </w:rPr>
      </w:pPr>
      <w:r>
        <w:rPr>
          <w:rFonts w:hint="eastAsia" w:ascii="宋体" w:hAnsi="宋体" w:cs="仿宋"/>
          <w:sz w:val="24"/>
          <w:szCs w:val="24"/>
        </w:rPr>
        <w:t xml:space="preserve">组件控制：一键开关字幕、扬声器，随时返回场景列表或进入屏保，页面显示操作也可实时生效。</w:t>
      </w:r>
      <w:r/>
    </w:p>
    <w:p>
      <w:pPr>
        <w:contextualSpacing/>
        <w:rPr>
          <w:rFonts w:ascii="宋体" w:hAnsi="宋体" w:cs="仿宋"/>
          <w:sz w:val="24"/>
          <w:szCs w:val="24"/>
        </w:rPr>
      </w:pPr>
      <w:r>
        <w:rPr>
          <w:rFonts w:hint="eastAsia" w:ascii="宋体" w:hAnsi="宋体" w:cs="仿宋"/>
          <w:sz w:val="24"/>
          <w:szCs w:val="24"/>
        </w:rPr>
        <w:t xml:space="preserve">扫码带走：访客用微信扫描大屏动态二维码，即可将当前对话同步至手机，支持截屏保存、转发分享，信息随身带走。</w:t>
      </w:r>
      <w:r/>
    </w:p>
    <w:p>
      <w:pPr>
        <w:contextualSpacing/>
        <w:rPr>
          <w:rFonts w:ascii="宋体" w:hAnsi="宋体" w:cs="仿宋"/>
          <w:sz w:val="24"/>
          <w:szCs w:val="24"/>
        </w:rPr>
      </w:pPr>
      <w:r>
        <w:rPr>
          <w:rFonts w:hint="eastAsia" w:ascii="宋体" w:hAnsi="宋体" w:cs="仿宋"/>
          <w:sz w:val="24"/>
          <w:szCs w:val="24"/>
        </w:rPr>
        <w:t xml:space="preserve">（三）数字员工业务办理</w:t>
      </w:r>
      <w:r/>
    </w:p>
    <w:p>
      <w:pPr>
        <w:contextualSpacing/>
        <w:rPr>
          <w:rFonts w:ascii="宋体" w:hAnsi="宋体" w:cs="仿宋"/>
          <w:sz w:val="24"/>
          <w:szCs w:val="24"/>
        </w:rPr>
      </w:pPr>
      <w:r>
        <w:rPr>
          <w:rFonts w:hint="eastAsia" w:ascii="宋体" w:hAnsi="宋体" w:cs="仿宋"/>
          <w:sz w:val="24"/>
          <w:szCs w:val="24"/>
        </w:rPr>
        <w:t xml:space="preserve">流程开始：将业务办理入口直接嵌入对话流程，访客页面无感跳转即可完成还贷、提取申请等操作，减少流失。</w:t>
      </w:r>
      <w:r/>
    </w:p>
    <w:p>
      <w:pPr>
        <w:contextualSpacing/>
        <w:rPr>
          <w:rFonts w:ascii="宋体" w:hAnsi="宋体" w:cs="仿宋"/>
          <w:sz w:val="24"/>
          <w:szCs w:val="24"/>
        </w:rPr>
      </w:pPr>
      <w:r>
        <w:rPr>
          <w:rFonts w:hint="eastAsia" w:ascii="宋体" w:hAnsi="宋体" w:cs="仿宋"/>
          <w:sz w:val="24"/>
          <w:szCs w:val="24"/>
        </w:rPr>
        <w:t xml:space="preserve">流程节点：根据业务流程自动展示当前节点及所需信息，数字员工语音播报提示，确保访客“走到哪一步”都一目了然。</w:t>
      </w:r>
      <w:r/>
    </w:p>
    <w:p>
      <w:pPr>
        <w:contextualSpacing/>
        <w:rPr>
          <w:rFonts w:ascii="宋体" w:hAnsi="宋体" w:cs="仿宋"/>
          <w:sz w:val="24"/>
          <w:szCs w:val="24"/>
        </w:rPr>
      </w:pPr>
      <w:r>
        <w:rPr>
          <w:rFonts w:hint="eastAsia" w:ascii="宋体" w:hAnsi="宋体" w:cs="仿宋"/>
          <w:sz w:val="24"/>
          <w:szCs w:val="24"/>
        </w:rPr>
        <w:t xml:space="preserve">业务操作：支持语音回答或屏幕点击两种方式进行信息录入，适配老年人和残障人士的无障碍需求。</w:t>
      </w:r>
      <w:r/>
    </w:p>
    <w:p>
      <w:pPr>
        <w:contextualSpacing/>
        <w:rPr>
          <w:rFonts w:ascii="宋体" w:hAnsi="宋体" w:cs="仿宋"/>
          <w:sz w:val="24"/>
          <w:szCs w:val="24"/>
        </w:rPr>
      </w:pPr>
      <w:r>
        <w:rPr>
          <w:rFonts w:hint="eastAsia" w:ascii="宋体" w:hAnsi="宋体" w:cs="仿宋"/>
          <w:sz w:val="24"/>
          <w:szCs w:val="24"/>
        </w:rPr>
        <w:t xml:space="preserve">办理结果确认：办理结束前全屏展示申请表单，供访客逐项核对并语音或点击确认，保证信息100%准确。</w:t>
      </w:r>
      <w:r/>
    </w:p>
    <w:p>
      <w:pPr>
        <w:contextualSpacing/>
        <w:rPr>
          <w:rFonts w:ascii="宋体" w:hAnsi="宋体" w:cs="仿宋"/>
          <w:sz w:val="24"/>
          <w:szCs w:val="24"/>
        </w:rPr>
      </w:pPr>
      <w:r>
        <w:rPr>
          <w:rFonts w:hint="eastAsia" w:ascii="宋体" w:hAnsi="宋体" w:cs="仿宋"/>
          <w:sz w:val="24"/>
          <w:szCs w:val="24"/>
        </w:rPr>
        <w:t xml:space="preserve">流程结束：访客可在最终提交前随时取消，提交后仍可立即办理其他业务，流程灵活无断点。</w:t>
      </w:r>
      <w:r/>
    </w:p>
    <w:p>
      <w:pPr>
        <w:pStyle w:val="658"/>
        <w:numPr>
          <w:ilvl w:val="5"/>
          <w:numId w:val="0"/>
        </w:numPr>
        <w:spacing w:before="0" w:after="0"/>
        <w:rPr>
          <w:rFonts w:ascii="宋体" w:hAnsi="宋体" w:eastAsia="宋体"/>
        </w:rPr>
      </w:pPr>
      <w:r>
        <w:rPr>
          <w:rFonts w:hint="eastAsia" w:ascii="宋体" w:hAnsi="宋体" w:eastAsia="宋体"/>
        </w:rPr>
        <w:t xml:space="preserve">2.7柜外肩并肩主动服务</w:t>
      </w:r>
      <w:r/>
    </w:p>
    <w:p>
      <w:pPr>
        <w:pStyle w:val="923"/>
        <w:ind w:firstLine="0"/>
        <w:spacing w:before="0" w:after="0" w:line="240" w:lineRule="auto"/>
        <w:rPr>
          <w:rFonts w:ascii="宋体" w:hAnsi="宋体"/>
        </w:rPr>
      </w:pPr>
      <w:r>
        <w:rPr>
          <w:rFonts w:hint="eastAsia" w:ascii="宋体" w:hAnsi="宋体"/>
        </w:rPr>
        <w:t xml:space="preserve">面向服务人员打造移动端柜员办理系统，支持工作人员携带移动设备前往社区、企业或园区开展政策培训、服务办理和信息采集等。主要功能包括：</w:t>
      </w:r>
      <w:r/>
    </w:p>
    <w:tbl>
      <w:tblPr>
        <w:tblStyle w:val="663"/>
        <w:tblW w:w="8445" w:type="dxa"/>
        <w:tblInd w:w="100" w:type="dxa"/>
        <w:tblLayout w:type="fixed"/>
        <w:tblCellMar>
          <w:left w:w="108" w:type="dxa"/>
          <w:top w:w="0" w:type="dxa"/>
          <w:right w:w="108" w:type="dxa"/>
          <w:bottom w:w="0" w:type="dxa"/>
        </w:tblCellMar>
        <w:tblLook w:val="04A0" w:firstRow="1" w:lastRow="0" w:firstColumn="1" w:lastColumn="0" w:noHBand="0" w:noVBand="1"/>
      </w:tblPr>
      <w:tblGrid>
        <w:gridCol w:w="1771"/>
        <w:gridCol w:w="6674"/>
      </w:tblGrid>
      <w:tr>
        <w:trPr>
          <w:trHeight w:val="32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签约管理</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单位线上业务开通</w:t>
            </w:r>
            <w:r/>
          </w:p>
        </w:tc>
      </w:tr>
      <w:tr>
        <w:trPr>
          <w:trHeight w:val="490"/>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缴存管理</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单位缴存登记、单位信息新增、单位信息变更、个人信息变更</w:t>
            </w:r>
            <w:r/>
          </w:p>
        </w:tc>
      </w:tr>
      <w:tr>
        <w:trPr>
          <w:trHeight w:val="703"/>
        </w:trPr>
        <w:tc>
          <w:tcPr>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缴存信息查询</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单位信息查询、单位养老保险查询、单位账户信息查询、个人信息查询、个人养老保险查询、个人账户信息查询、个人缴存历史查询</w:t>
            </w:r>
            <w:r/>
          </w:p>
        </w:tc>
      </w:tr>
      <w:tr>
        <w:trPr>
          <w:trHeight w:val="336"/>
        </w:trPr>
        <w:tc>
          <w:tcPr>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提取管理</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个人提取、提取业务终止、银行卡管理、个人提取查询</w:t>
            </w:r>
            <w:r/>
          </w:p>
        </w:tc>
      </w:tr>
      <w:tr>
        <w:trPr>
          <w:trHeight w:val="324"/>
        </w:trPr>
        <w:tc>
          <w:tcPr>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贷款管理</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贷款申请、个人额度查询、还款试算、还款人变更</w:t>
            </w:r>
            <w:r/>
          </w:p>
        </w:tc>
      </w:tr>
      <w:tr>
        <w:trPr>
          <w:trHeight w:val="665"/>
        </w:trPr>
        <w:tc>
          <w:tcPr>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贷款信息查询</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个人贷款业务明细信息查询、个人贷款账户信息查询、个人贷款业务明细信息查询、贷款利率查询</w:t>
            </w:r>
            <w:r/>
          </w:p>
        </w:tc>
      </w:tr>
      <w:tr>
        <w:trPr>
          <w:trHeight w:val="434"/>
        </w:trPr>
        <w:tc>
          <w:tcPr>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房源管理</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房源信息录入、房源信息查询、房源贷款资格查询</w:t>
            </w:r>
            <w:r/>
          </w:p>
        </w:tc>
      </w:tr>
    </w:tbl>
    <w:p>
      <w:pPr>
        <w:contextualSpacing/>
        <w:rPr>
          <w:rFonts w:ascii="宋体" w:hAnsi="宋体" w:cs="仿宋"/>
          <w:sz w:val="24"/>
          <w:szCs w:val="24"/>
        </w:rPr>
      </w:pPr>
      <w:r>
        <w:rPr>
          <w:rFonts w:ascii="宋体" w:hAnsi="宋体" w:cs="仿宋"/>
          <w:sz w:val="24"/>
          <w:szCs w:val="24"/>
        </w:rPr>
      </w:r>
      <w:r/>
    </w:p>
    <w:p>
      <w:pPr>
        <w:pStyle w:val="658"/>
        <w:numPr>
          <w:ilvl w:val="5"/>
          <w:numId w:val="0"/>
        </w:numPr>
        <w:spacing w:before="0" w:after="0"/>
        <w:rPr>
          <w:rFonts w:ascii="宋体" w:hAnsi="宋体" w:eastAsia="宋体"/>
        </w:rPr>
      </w:pPr>
      <w:r>
        <w:rPr>
          <w:rFonts w:hint="eastAsia" w:ascii="宋体" w:hAnsi="宋体" w:eastAsia="宋体"/>
        </w:rPr>
        <w:t xml:space="preserve">2.8模拟演示系统</w:t>
      </w:r>
      <w:r/>
    </w:p>
    <w:p>
      <w:pPr>
        <w:pStyle w:val="923"/>
        <w:ind w:firstLine="0"/>
        <w:spacing w:before="0" w:after="0" w:line="240" w:lineRule="auto"/>
        <w:rPr>
          <w:rFonts w:ascii="宋体" w:hAnsi="宋体"/>
        </w:rPr>
      </w:pPr>
      <w:r>
        <w:rPr>
          <w:rFonts w:hint="eastAsia" w:ascii="宋体" w:hAnsi="宋体"/>
        </w:rPr>
        <w:t xml:space="preserve">针对缴存单位经办人，开展了住房公积金政策宣传及单位网厅操作指导培训，确保相关业务人员全面准确掌握住房公积金政策。</w:t>
      </w:r>
      <w:r/>
    </w:p>
    <w:p>
      <w:pPr>
        <w:pStyle w:val="923"/>
        <w:ind w:firstLine="0"/>
        <w:spacing w:before="0" w:after="0" w:line="240" w:lineRule="auto"/>
        <w:rPr>
          <w:rFonts w:ascii="宋体" w:hAnsi="宋体"/>
        </w:rPr>
      </w:pPr>
      <w:r>
        <w:rPr>
          <w:rFonts w:hint="eastAsia" w:ascii="宋体" w:hAnsi="宋体"/>
        </w:rPr>
        <w:t xml:space="preserve">（1）模拟演示管理</w:t>
      </w:r>
      <w:r/>
    </w:p>
    <w:p>
      <w:pPr>
        <w:pStyle w:val="923"/>
        <w:ind w:firstLine="0"/>
        <w:spacing w:before="0" w:after="0" w:line="240" w:lineRule="auto"/>
        <w:rPr>
          <w:rFonts w:ascii="宋体" w:hAnsi="宋体"/>
        </w:rPr>
      </w:pPr>
      <w:r>
        <w:rPr>
          <w:rFonts w:hint="eastAsia" w:ascii="宋体" w:hAnsi="宋体"/>
        </w:rPr>
        <w:t xml:space="preserve">单位用户管理功能为管理员提供全面、模拟培训、信息管理何学习行为监控工具。通过该功能，管理员可以方便地管理模拟演示课程、跟踪模拟演示进度、组织模拟并分析统计模拟情况，从而确保模拟演示工作的顺利开展和演示效果的最大化。</w:t>
      </w:r>
      <w:r/>
    </w:p>
    <w:p>
      <w:pPr>
        <w:pStyle w:val="923"/>
        <w:ind w:firstLine="0"/>
        <w:spacing w:before="0" w:after="0" w:line="240" w:lineRule="auto"/>
        <w:rPr>
          <w:rFonts w:ascii="宋体" w:hAnsi="宋体"/>
        </w:rPr>
      </w:pPr>
      <w:r>
        <w:rPr>
          <w:rFonts w:hint="eastAsia" w:ascii="宋体" w:hAnsi="宋体"/>
        </w:rPr>
        <w:t xml:space="preserve">（2）模拟课程管理</w:t>
      </w:r>
      <w:r/>
    </w:p>
    <w:p>
      <w:pPr>
        <w:pStyle w:val="923"/>
        <w:ind w:firstLine="0"/>
        <w:spacing w:before="0" w:after="0" w:line="240" w:lineRule="auto"/>
        <w:rPr>
          <w:rFonts w:ascii="宋体" w:hAnsi="宋体"/>
        </w:rPr>
      </w:pPr>
      <w:r>
        <w:rPr>
          <w:rFonts w:hint="eastAsia" w:ascii="宋体" w:hAnsi="宋体"/>
        </w:rPr>
        <w:t xml:space="preserve">为管理员提供全面、灵活的课程资源管理和发布工具。支持高效地创建、组织和管理模拟课程，确保模拟住房公积金相关的政策法规、业务流程和操作技能。</w:t>
      </w:r>
      <w:r/>
    </w:p>
    <w:p>
      <w:pPr>
        <w:pStyle w:val="923"/>
        <w:ind w:firstLine="0"/>
        <w:spacing w:before="0" w:after="0" w:line="240" w:lineRule="auto"/>
        <w:rPr>
          <w:rFonts w:ascii="宋体" w:hAnsi="宋体"/>
        </w:rPr>
      </w:pPr>
      <w:r>
        <w:rPr>
          <w:rFonts w:hint="eastAsia" w:ascii="宋体" w:hAnsi="宋体"/>
        </w:rPr>
        <w:t xml:space="preserve">（3）数据统计</w:t>
      </w:r>
      <w:r/>
    </w:p>
    <w:p>
      <w:pPr>
        <w:pStyle w:val="923"/>
        <w:ind w:firstLine="0"/>
        <w:spacing w:before="0" w:after="0" w:line="240" w:lineRule="auto"/>
        <w:rPr>
          <w:rFonts w:ascii="宋体" w:hAnsi="宋体"/>
        </w:rPr>
      </w:pPr>
      <w:r>
        <w:rPr>
          <w:rFonts w:hint="eastAsia" w:ascii="宋体" w:hAnsi="宋体"/>
        </w:rPr>
        <w:t xml:space="preserve">数据统计功能可帮助管理者全面了解培训和模拟演示情况。通过数据统计功能，管理者可以高效地分析数据，优化培训内容和考试设计，提升整体培训质量。</w:t>
      </w:r>
      <w:r/>
    </w:p>
    <w:p>
      <w:pPr>
        <w:pStyle w:val="923"/>
        <w:ind w:firstLine="0"/>
        <w:spacing w:before="0" w:after="0" w:line="240" w:lineRule="auto"/>
        <w:rPr>
          <w:rFonts w:ascii="宋体" w:hAnsi="宋体"/>
        </w:rPr>
      </w:pPr>
      <w:r>
        <w:rPr>
          <w:rFonts w:hint="eastAsia" w:ascii="宋体" w:hAnsi="宋体"/>
        </w:rPr>
        <w:t xml:space="preserve">（4）登录认证</w:t>
      </w:r>
      <w:r/>
    </w:p>
    <w:p>
      <w:pPr>
        <w:pStyle w:val="923"/>
        <w:ind w:firstLine="0"/>
        <w:spacing w:before="0" w:after="0" w:line="240" w:lineRule="auto"/>
        <w:rPr>
          <w:rFonts w:ascii="宋体" w:hAnsi="宋体"/>
        </w:rPr>
      </w:pPr>
      <w:r>
        <w:rPr>
          <w:rFonts w:hint="eastAsia" w:ascii="宋体" w:hAnsi="宋体"/>
        </w:rPr>
        <w:t xml:space="preserve">登录认证功能是确保系统安全性和用户身份验证的核心模块。通过高效的登录认证机制对接核心系统用户认证与用户体系，争抢数据安全，防止未经授权的访问，同时根据角色权限，为用户提供便捷的登录体验。</w:t>
      </w:r>
      <w:r/>
    </w:p>
    <w:p>
      <w:pPr>
        <w:pStyle w:val="923"/>
        <w:ind w:firstLine="0"/>
        <w:spacing w:before="0" w:after="0" w:line="240" w:lineRule="auto"/>
        <w:rPr>
          <w:rFonts w:ascii="宋体" w:hAnsi="宋体"/>
        </w:rPr>
      </w:pPr>
      <w:r>
        <w:rPr>
          <w:rFonts w:hint="eastAsia" w:ascii="宋体" w:hAnsi="宋体"/>
        </w:rPr>
        <w:t xml:space="preserve">（5）模拟学习</w:t>
      </w:r>
      <w:r/>
    </w:p>
    <w:p>
      <w:pPr>
        <w:pStyle w:val="923"/>
        <w:ind w:firstLine="0"/>
        <w:spacing w:before="0" w:after="0" w:line="240" w:lineRule="auto"/>
        <w:rPr>
          <w:rFonts w:ascii="宋体" w:hAnsi="宋体"/>
        </w:rPr>
      </w:pPr>
      <w:r>
        <w:rPr>
          <w:rFonts w:hint="eastAsia" w:ascii="宋体" w:hAnsi="宋体"/>
        </w:rPr>
        <w:t xml:space="preserve">在线模拟学习功能为用户提供高效、便捷的学习体验，帮助用户掌握住房公积金相关知识和技能。系统采用多种技术手段来优化性能、提升用户体验，并确保学习内容的稳定传输和交互。</w:t>
      </w:r>
      <w:r/>
    </w:p>
    <w:p>
      <w:pPr>
        <w:pStyle w:val="923"/>
        <w:ind w:firstLine="0"/>
        <w:spacing w:before="0" w:after="0" w:line="240" w:lineRule="auto"/>
        <w:rPr>
          <w:rFonts w:ascii="宋体" w:hAnsi="宋体"/>
        </w:rPr>
      </w:pPr>
      <w:r>
        <w:rPr>
          <w:rFonts w:hint="eastAsia" w:ascii="宋体" w:hAnsi="宋体"/>
        </w:rPr>
        <w:t xml:space="preserve">（6）个人中心</w:t>
      </w:r>
      <w:r/>
    </w:p>
    <w:p>
      <w:pPr>
        <w:pStyle w:val="923"/>
        <w:ind w:firstLine="0"/>
        <w:spacing w:before="0" w:after="0" w:line="240" w:lineRule="auto"/>
        <w:rPr>
          <w:rFonts w:ascii="宋体" w:hAnsi="宋体"/>
        </w:rPr>
      </w:pPr>
      <w:r>
        <w:rPr>
          <w:rFonts w:hint="eastAsia" w:ascii="宋体" w:hAnsi="宋体"/>
        </w:rPr>
        <w:t xml:space="preserve">个人中心是用户管理个人信息、学习进度、模拟演示培训记录和系统交互的核心模块。通过个人中心，用户可以方便地查看和管理自己的学习进度数据。</w:t>
      </w:r>
      <w:r/>
    </w:p>
    <w:p>
      <w:pPr>
        <w:pStyle w:val="658"/>
        <w:numPr>
          <w:ilvl w:val="5"/>
          <w:numId w:val="0"/>
        </w:numPr>
        <w:spacing w:before="0" w:after="0"/>
        <w:rPr>
          <w:rFonts w:ascii="宋体" w:hAnsi="宋体" w:eastAsia="宋体"/>
        </w:rPr>
      </w:pPr>
      <w:r>
        <w:rPr>
          <w:rFonts w:hint="eastAsia" w:ascii="宋体" w:hAnsi="宋体" w:eastAsia="宋体"/>
        </w:rPr>
        <w:t xml:space="preserve">2.9会计档案电子化</w:t>
      </w:r>
      <w:r/>
    </w:p>
    <w:p>
      <w:pPr>
        <w:contextualSpacing/>
        <w:rPr>
          <w:rFonts w:ascii="宋体" w:hAnsi="宋体" w:cs="仿宋"/>
          <w:sz w:val="24"/>
          <w:szCs w:val="24"/>
        </w:rPr>
      </w:pPr>
      <w:r>
        <w:rPr>
          <w:rFonts w:hint="eastAsia" w:ascii="宋体" w:hAnsi="宋体" w:cs="仿宋"/>
          <w:sz w:val="24"/>
          <w:szCs w:val="24"/>
        </w:rPr>
        <w:t xml:space="preserve">随着公积金提取、缴存、贷款业务逐年增长，中心目前仍使用大量纸质回单，不仅浪费人力、物力、财力，还容易造成信息传递延误或出错，而且在存储和查询方面也存在诸多不便，难以满足当下高效、精准的管理要求。启动该项工作，完成银行回单电子化改造工作，联合委托银行全面打通数据链路，实时互传业务信息，逐步以电子回单取代纸质回单。</w:t>
      </w:r>
      <w:r/>
    </w:p>
    <w:p>
      <w:pPr>
        <w:contextualSpacing/>
        <w:rPr>
          <w:rFonts w:ascii="宋体" w:hAnsi="宋体" w:cs="仿宋"/>
          <w:sz w:val="24"/>
          <w:szCs w:val="24"/>
        </w:rPr>
      </w:pPr>
      <w:r>
        <w:rPr>
          <w:rFonts w:hint="eastAsia" w:ascii="宋体" w:hAnsi="宋体" w:cs="仿宋"/>
          <w:sz w:val="24"/>
          <w:szCs w:val="24"/>
        </w:rPr>
        <w:t xml:space="preserve">银行将电子回单推送中心，中心对银行电子回单和银行结算流水进行比对完成对账处理，对账完成后通过查询余额调节表。</w:t>
      </w:r>
      <w:r/>
    </w:p>
    <w:p>
      <w:pPr>
        <w:contextualSpacing/>
        <w:rPr>
          <w:rFonts w:ascii="宋体" w:hAnsi="宋体" w:cs="仿宋"/>
          <w:sz w:val="24"/>
          <w:szCs w:val="24"/>
        </w:rPr>
      </w:pPr>
      <w:r>
        <w:rPr>
          <w:rFonts w:hint="eastAsia" w:ascii="宋体" w:hAnsi="宋体" w:cs="仿宋"/>
          <w:sz w:val="24"/>
          <w:szCs w:val="24"/>
        </w:rPr>
        <w:t xml:space="preserve">中心接收电子回单后自动触发电子回单对账。通过银行账户、银行结算流水号、结算金额、结算时间等信息比对电子回单数据和银行结算流水数据，并根据比对结果更新状态。</w:t>
      </w:r>
      <w:r/>
    </w:p>
    <w:p>
      <w:pPr>
        <w:contextualSpacing/>
        <w:rPr>
          <w:rFonts w:ascii="宋体" w:hAnsi="宋体" w:cs="仿宋"/>
          <w:sz w:val="24"/>
          <w:szCs w:val="24"/>
        </w:rPr>
      </w:pPr>
      <w:r>
        <w:rPr>
          <w:rFonts w:hint="eastAsia" w:ascii="宋体" w:hAnsi="宋体" w:cs="仿宋"/>
          <w:sz w:val="24"/>
          <w:szCs w:val="24"/>
        </w:rPr>
        <w:t xml:space="preserve">电子回单和结算流水比对后，检查到银行结算流水存在缺失、重复、信息不一致，经过核实后，可以通过电子回单信息修正银行结算流水数据，经审批通过后生效。</w:t>
      </w:r>
      <w:r/>
    </w:p>
    <w:p>
      <w:pPr>
        <w:contextualSpacing/>
        <w:rPr>
          <w:rFonts w:ascii="宋体" w:hAnsi="宋体" w:cs="仿宋"/>
          <w:sz w:val="24"/>
          <w:szCs w:val="24"/>
        </w:rPr>
      </w:pPr>
      <w:r>
        <w:rPr>
          <w:rFonts w:hint="eastAsia" w:ascii="宋体" w:hAnsi="宋体" w:cs="仿宋"/>
          <w:sz w:val="24"/>
          <w:szCs w:val="24"/>
        </w:rPr>
        <w:t xml:space="preserve">电子回单与银行结算流水比对后，检查到电子回单缺失或错误，通过合作银行系统获取银行电子回单接口重新从银行获取电子回单。</w:t>
      </w:r>
      <w:r/>
    </w:p>
    <w:p>
      <w:pPr>
        <w:pStyle w:val="658"/>
        <w:numPr>
          <w:ilvl w:val="5"/>
          <w:numId w:val="0"/>
        </w:numPr>
        <w:spacing w:before="0" w:after="0"/>
        <w:rPr>
          <w:rFonts w:ascii="宋体" w:hAnsi="宋体" w:eastAsia="宋体"/>
        </w:rPr>
      </w:pPr>
      <w:r>
        <w:rPr>
          <w:rFonts w:hint="eastAsia" w:ascii="宋体" w:hAnsi="宋体" w:eastAsia="宋体"/>
        </w:rPr>
        <w:t xml:space="preserve">2.10风险防控</w:t>
      </w:r>
      <w:r/>
    </w:p>
    <w:p>
      <w:pPr>
        <w:contextualSpacing/>
        <w:rPr>
          <w:rFonts w:ascii="宋体" w:hAnsi="宋体" w:cs="仿宋"/>
          <w:sz w:val="24"/>
          <w:szCs w:val="24"/>
        </w:rPr>
      </w:pPr>
      <w:r>
        <w:rPr>
          <w:rFonts w:hint="eastAsia" w:ascii="宋体" w:hAnsi="宋体" w:cs="仿宋"/>
          <w:sz w:val="24"/>
          <w:szCs w:val="24"/>
        </w:rPr>
        <w:t xml:space="preserve">为了加强住房公积金监管，住房和城乡建设部发布了《关于开展住房公积金政策执行情况检查及风险隐患排查的通知》（简称“双查”），以提升全国住房公积金管理中心风险防控能力。随后，又发布了《关于启用住房公积金电子化检查工具的通知》，要求各中心按月将检查结果报送住房和城乡建设部，将住房公积金监管水平提高到了一个全新的高度。</w:t>
      </w:r>
      <w:r/>
    </w:p>
    <w:p>
      <w:pPr>
        <w:contextualSpacing/>
        <w:rPr>
          <w:rFonts w:ascii="宋体" w:hAnsi="宋体" w:cs="仿宋"/>
          <w:sz w:val="24"/>
          <w:szCs w:val="24"/>
        </w:rPr>
      </w:pPr>
      <w:r>
        <w:rPr>
          <w:rFonts w:hint="eastAsia" w:ascii="宋体" w:hAnsi="宋体" w:cs="仿宋"/>
          <w:sz w:val="24"/>
          <w:szCs w:val="24"/>
        </w:rPr>
        <w:t xml:space="preserve">中心积极推进内部风险防控体系，为全面提升中心的风险防控能力，有效保障资金安全，切实维护缴存职工权益，主要包括：</w:t>
      </w:r>
      <w:r/>
    </w:p>
    <w:p>
      <w:pPr>
        <w:contextualSpacing/>
        <w:rPr>
          <w:rFonts w:ascii="宋体" w:hAnsi="宋体" w:cs="仿宋"/>
          <w:sz w:val="24"/>
          <w:szCs w:val="24"/>
        </w:rPr>
      </w:pPr>
      <w:r>
        <w:rPr>
          <w:rFonts w:hint="eastAsia" w:ascii="宋体" w:hAnsi="宋体" w:cs="仿宋"/>
          <w:sz w:val="24"/>
          <w:szCs w:val="24"/>
        </w:rPr>
        <w:t xml:space="preserve">（1）主体及关系数据建模</w:t>
      </w:r>
      <w:r/>
    </w:p>
    <w:p>
      <w:pPr>
        <w:contextualSpacing/>
        <w:rPr>
          <w:rFonts w:ascii="宋体" w:hAnsi="宋体" w:cs="仿宋"/>
          <w:sz w:val="24"/>
          <w:szCs w:val="24"/>
        </w:rPr>
      </w:pPr>
      <w:r>
        <w:rPr>
          <w:rFonts w:hint="eastAsia" w:ascii="宋体" w:hAnsi="宋体" w:cs="仿宋"/>
          <w:sz w:val="24"/>
          <w:szCs w:val="24"/>
        </w:rPr>
        <w:t xml:space="preserve">1.个人主体数据建模</w:t>
      </w:r>
      <w:r/>
    </w:p>
    <w:p>
      <w:pPr>
        <w:contextualSpacing/>
        <w:rPr>
          <w:rFonts w:ascii="宋体" w:hAnsi="宋体" w:cs="仿宋"/>
          <w:sz w:val="24"/>
          <w:szCs w:val="24"/>
        </w:rPr>
      </w:pPr>
      <w:r>
        <w:rPr>
          <w:rFonts w:ascii="宋体" w:hAnsi="宋体" w:cs="仿宋"/>
          <w:sz w:val="24"/>
          <w:szCs w:val="24"/>
        </w:rPr>
        <w:t xml:space="preserve">围绕个人主体建立数据模型。从数据来源的个人信息、各类业务信息等表中抽取、加工形成个人主体数据。数据建模服务均以住建部数据标准规范为准则，在数据抽取后，将数据转换为图谱节点用于分析</w:t>
      </w:r>
      <w:r>
        <w:rPr>
          <w:rFonts w:hint="eastAsia" w:ascii="宋体" w:hAnsi="宋体" w:cs="仿宋"/>
          <w:sz w:val="24"/>
          <w:szCs w:val="24"/>
        </w:rPr>
        <w:t xml:space="preserve">。</w:t>
      </w:r>
      <w:r/>
    </w:p>
    <w:p>
      <w:pPr>
        <w:contextualSpacing/>
        <w:rPr>
          <w:rFonts w:ascii="宋体" w:hAnsi="宋体" w:cs="仿宋"/>
          <w:sz w:val="24"/>
          <w:szCs w:val="24"/>
        </w:rPr>
      </w:pPr>
      <w:r>
        <w:rPr>
          <w:rFonts w:hint="eastAsia" w:ascii="宋体" w:hAnsi="宋体" w:cs="仿宋"/>
          <w:sz w:val="24"/>
          <w:szCs w:val="24"/>
        </w:rPr>
        <w:t xml:space="preserve">2.房屋主体数据建模</w:t>
      </w:r>
      <w:r/>
    </w:p>
    <w:p>
      <w:pPr>
        <w:contextualSpacing/>
        <w:rPr>
          <w:rFonts w:ascii="宋体" w:hAnsi="宋体" w:cs="仿宋"/>
          <w:sz w:val="24"/>
          <w:szCs w:val="24"/>
        </w:rPr>
      </w:pPr>
      <w:r>
        <w:rPr>
          <w:rFonts w:ascii="宋体" w:hAnsi="宋体" w:cs="仿宋"/>
          <w:sz w:val="24"/>
          <w:szCs w:val="24"/>
        </w:rPr>
        <w:t xml:space="preserve">围绕房屋主体建立数据模型，从提取、贷款、协查等记录中抽取、加工形成房屋主体数据。</w:t>
      </w:r>
      <w:r/>
    </w:p>
    <w:p>
      <w:pPr>
        <w:contextualSpacing/>
        <w:rPr>
          <w:rFonts w:ascii="宋体" w:hAnsi="宋体" w:cs="仿宋"/>
          <w:sz w:val="24"/>
          <w:szCs w:val="24"/>
        </w:rPr>
      </w:pPr>
      <w:r>
        <w:rPr>
          <w:rFonts w:hint="eastAsia" w:ascii="宋体" w:hAnsi="宋体" w:cs="仿宋"/>
          <w:sz w:val="24"/>
          <w:szCs w:val="24"/>
        </w:rPr>
        <w:t xml:space="preserve">3.联系地址主体数据建模</w:t>
      </w:r>
      <w:r/>
    </w:p>
    <w:p>
      <w:pPr>
        <w:contextualSpacing/>
        <w:rPr>
          <w:rFonts w:ascii="宋体" w:hAnsi="宋体" w:cs="仿宋"/>
          <w:sz w:val="24"/>
          <w:szCs w:val="24"/>
        </w:rPr>
      </w:pPr>
      <w:r>
        <w:rPr>
          <w:rFonts w:ascii="宋体" w:hAnsi="宋体" w:cs="仿宋"/>
          <w:sz w:val="24"/>
          <w:szCs w:val="24"/>
        </w:rPr>
        <w:t xml:space="preserve">围绕联系地址主体建立数据模型，从家庭住址、单位地址、房屋信息等数据中抽取、加工形成联系地址主体数据。</w:t>
      </w:r>
      <w:r/>
    </w:p>
    <w:p>
      <w:pPr>
        <w:contextualSpacing/>
        <w:rPr>
          <w:rFonts w:ascii="宋体" w:hAnsi="宋体" w:cs="仿宋"/>
          <w:sz w:val="24"/>
          <w:szCs w:val="24"/>
        </w:rPr>
      </w:pPr>
      <w:r>
        <w:rPr>
          <w:rFonts w:hint="eastAsia" w:ascii="宋体" w:hAnsi="宋体" w:cs="仿宋"/>
          <w:sz w:val="24"/>
          <w:szCs w:val="24"/>
        </w:rPr>
        <w:t xml:space="preserve">4.业务主体数据建模</w:t>
      </w:r>
      <w:r/>
    </w:p>
    <w:p>
      <w:pPr>
        <w:contextualSpacing/>
        <w:rPr>
          <w:rFonts w:ascii="宋体" w:hAnsi="宋体" w:cs="仿宋"/>
          <w:sz w:val="24"/>
          <w:szCs w:val="24"/>
        </w:rPr>
      </w:pPr>
      <w:r>
        <w:rPr>
          <w:rFonts w:hint="eastAsia" w:ascii="宋体" w:hAnsi="宋体" w:cs="仿宋"/>
          <w:sz w:val="24"/>
          <w:szCs w:val="24"/>
        </w:rPr>
        <w:t xml:space="preserve">围绕业务记录建立数据模型，主要从提取、贷款业务中抽取、加工形成业务主体数据，包含个人提取业务，个人贷款业务及个人贷款合同、个人贷款账户等相关主体数据。</w:t>
      </w:r>
      <w:r/>
    </w:p>
    <w:p>
      <w:pPr>
        <w:contextualSpacing/>
        <w:rPr>
          <w:rFonts w:ascii="宋体" w:hAnsi="宋体" w:cs="仿宋"/>
          <w:sz w:val="24"/>
          <w:szCs w:val="24"/>
        </w:rPr>
      </w:pPr>
      <w:r>
        <w:rPr>
          <w:rFonts w:hint="eastAsia" w:ascii="宋体" w:hAnsi="宋体" w:cs="仿宋"/>
          <w:sz w:val="24"/>
          <w:szCs w:val="24"/>
        </w:rPr>
        <w:t xml:space="preserve">5.经办人员主体数据建模</w:t>
      </w:r>
      <w:r/>
    </w:p>
    <w:p>
      <w:pPr>
        <w:contextualSpacing/>
        <w:rPr>
          <w:rFonts w:ascii="宋体" w:hAnsi="宋体" w:cs="仿宋"/>
          <w:sz w:val="24"/>
          <w:szCs w:val="24"/>
        </w:rPr>
      </w:pPr>
      <w:r>
        <w:rPr>
          <w:rFonts w:ascii="宋体" w:hAnsi="宋体" w:cs="仿宋"/>
          <w:sz w:val="24"/>
          <w:szCs w:val="24"/>
        </w:rPr>
        <w:t xml:space="preserve">围绕业务经办人员建立数据模型，从中心人员信息表中抽取、加工形成经办人员主体数据。</w:t>
      </w:r>
      <w:r/>
    </w:p>
    <w:p>
      <w:pPr>
        <w:contextualSpacing/>
        <w:rPr>
          <w:rFonts w:ascii="宋体" w:hAnsi="宋体" w:cs="仿宋"/>
          <w:sz w:val="24"/>
          <w:szCs w:val="24"/>
        </w:rPr>
      </w:pPr>
      <w:r>
        <w:rPr>
          <w:rFonts w:hint="eastAsia" w:ascii="宋体" w:hAnsi="宋体" w:cs="仿宋"/>
          <w:sz w:val="24"/>
          <w:szCs w:val="24"/>
        </w:rPr>
        <w:t xml:space="preserve">6.个人与个人关系数据建模</w:t>
      </w:r>
      <w:r/>
    </w:p>
    <w:p>
      <w:pPr>
        <w:contextualSpacing/>
        <w:rPr>
          <w:rFonts w:ascii="宋体" w:hAnsi="宋体" w:cs="仿宋"/>
          <w:sz w:val="24"/>
          <w:szCs w:val="24"/>
        </w:rPr>
      </w:pPr>
      <w:r>
        <w:rPr>
          <w:rFonts w:ascii="宋体" w:hAnsi="宋体" w:cs="仿宋"/>
          <w:sz w:val="24"/>
          <w:szCs w:val="24"/>
        </w:rPr>
        <w:t xml:space="preserve">从提取业务、贷款业务及相关表中抽取个人与个人之间的关系，如配偶，亲属，代办等关系信息。在数据抽取后，将关系数据转换为图谱节点与节点之间的关系，形成图谱关系</w:t>
      </w:r>
      <w:r>
        <w:rPr>
          <w:rFonts w:hint="eastAsia" w:ascii="宋体" w:hAnsi="宋体" w:cs="仿宋"/>
          <w:sz w:val="24"/>
          <w:szCs w:val="24"/>
        </w:rPr>
        <w:t xml:space="preserve">。</w:t>
      </w:r>
      <w:r/>
    </w:p>
    <w:p>
      <w:pPr>
        <w:contextualSpacing/>
        <w:rPr>
          <w:rFonts w:ascii="宋体" w:hAnsi="宋体" w:cs="仿宋"/>
          <w:sz w:val="24"/>
          <w:szCs w:val="24"/>
        </w:rPr>
      </w:pPr>
      <w:r>
        <w:rPr>
          <w:rFonts w:hint="eastAsia" w:ascii="宋体" w:hAnsi="宋体" w:cs="仿宋"/>
          <w:sz w:val="24"/>
          <w:szCs w:val="24"/>
        </w:rPr>
        <w:t xml:space="preserve">7.</w:t>
      </w:r>
      <w:r>
        <w:rPr>
          <w:rFonts w:ascii="宋体" w:hAnsi="宋体" w:cs="仿宋"/>
          <w:sz w:val="24"/>
          <w:szCs w:val="24"/>
        </w:rPr>
        <w:t xml:space="preserve">个人与房屋关系数据建模</w:t>
      </w:r>
      <w:r/>
    </w:p>
    <w:p>
      <w:pPr>
        <w:contextualSpacing/>
        <w:rPr>
          <w:rFonts w:ascii="宋体" w:hAnsi="宋体" w:cs="仿宋"/>
          <w:sz w:val="24"/>
          <w:szCs w:val="24"/>
        </w:rPr>
      </w:pPr>
      <w:r>
        <w:rPr>
          <w:rFonts w:ascii="宋体" w:hAnsi="宋体" w:cs="仿宋"/>
          <w:sz w:val="24"/>
          <w:szCs w:val="24"/>
        </w:rPr>
        <w:t xml:space="preserve">从提取业务、贷款业务及相关表中抽取个人与房屋之间的关系。如租住、权属、售卖等关系。</w:t>
      </w:r>
      <w:r/>
    </w:p>
    <w:p>
      <w:pPr>
        <w:contextualSpacing/>
        <w:rPr>
          <w:rFonts w:ascii="宋体" w:hAnsi="宋体" w:cs="仿宋"/>
          <w:sz w:val="24"/>
          <w:szCs w:val="24"/>
        </w:rPr>
      </w:pPr>
      <w:r>
        <w:rPr>
          <w:rFonts w:hint="eastAsia" w:ascii="宋体" w:hAnsi="宋体" w:cs="仿宋"/>
          <w:sz w:val="24"/>
          <w:szCs w:val="24"/>
        </w:rPr>
        <w:t xml:space="preserve">8.个人与地址关系数据建模</w:t>
      </w:r>
      <w:r/>
    </w:p>
    <w:p>
      <w:pPr>
        <w:contextualSpacing/>
        <w:rPr>
          <w:rFonts w:ascii="宋体" w:hAnsi="宋体" w:cs="仿宋"/>
          <w:sz w:val="24"/>
          <w:szCs w:val="24"/>
        </w:rPr>
      </w:pPr>
      <w:r>
        <w:rPr>
          <w:rFonts w:ascii="宋体" w:hAnsi="宋体" w:cs="仿宋"/>
          <w:sz w:val="24"/>
          <w:szCs w:val="24"/>
        </w:rPr>
        <w:t xml:space="preserve">从家庭住址、办公地址、通讯地址、身份证地址等数据中抽取个人与地址的关系。</w:t>
      </w:r>
      <w:r/>
    </w:p>
    <w:p>
      <w:pPr>
        <w:contextualSpacing/>
        <w:rPr>
          <w:rFonts w:ascii="宋体" w:hAnsi="宋体" w:cs="仿宋"/>
          <w:sz w:val="24"/>
          <w:szCs w:val="24"/>
        </w:rPr>
      </w:pPr>
      <w:r>
        <w:rPr>
          <w:rFonts w:hint="eastAsia" w:ascii="宋体" w:hAnsi="宋体" w:cs="仿宋"/>
          <w:sz w:val="24"/>
          <w:szCs w:val="24"/>
        </w:rPr>
        <w:t xml:space="preserve">9.房屋与地址关系数据建模</w:t>
      </w:r>
      <w:r/>
    </w:p>
    <w:p>
      <w:pPr>
        <w:contextualSpacing/>
        <w:rPr>
          <w:rFonts w:ascii="宋体" w:hAnsi="宋体" w:cs="仿宋"/>
          <w:sz w:val="24"/>
          <w:szCs w:val="24"/>
        </w:rPr>
      </w:pPr>
      <w:r>
        <w:rPr>
          <w:rFonts w:ascii="宋体" w:hAnsi="宋体" w:cs="仿宋"/>
          <w:sz w:val="24"/>
          <w:szCs w:val="24"/>
        </w:rPr>
        <w:t xml:space="preserve">通过对房屋地址进行清洗转换，建立房屋与地址的关联关系，并使用地址相似性算法，建立地址与地址之间的相似关系，以便找到地址稍有不同但实际上为同一房屋的数据。</w:t>
      </w:r>
      <w:r/>
    </w:p>
    <w:p>
      <w:pPr>
        <w:contextualSpacing/>
        <w:rPr>
          <w:rFonts w:ascii="宋体" w:hAnsi="宋体" w:cs="仿宋"/>
          <w:sz w:val="24"/>
          <w:szCs w:val="24"/>
        </w:rPr>
      </w:pPr>
      <w:r>
        <w:rPr>
          <w:rFonts w:hint="eastAsia" w:ascii="宋体" w:hAnsi="宋体" w:cs="仿宋"/>
          <w:sz w:val="24"/>
          <w:szCs w:val="24"/>
        </w:rPr>
        <w:t xml:space="preserve">10.经办人员与业务关系数据建模</w:t>
      </w:r>
      <w:r/>
    </w:p>
    <w:p>
      <w:pPr>
        <w:contextualSpacing/>
        <w:rPr>
          <w:rFonts w:ascii="宋体" w:hAnsi="宋体" w:cs="仿宋"/>
          <w:sz w:val="24"/>
          <w:szCs w:val="24"/>
        </w:rPr>
      </w:pPr>
      <w:r>
        <w:rPr>
          <w:rFonts w:ascii="宋体" w:hAnsi="宋体" w:cs="仿宋"/>
          <w:sz w:val="24"/>
          <w:szCs w:val="24"/>
        </w:rPr>
        <w:t xml:space="preserve">从业务记录数据中，建立经办人员主体与其办理的业务之间的关联关系。</w:t>
      </w:r>
      <w:r/>
    </w:p>
    <w:p>
      <w:pPr>
        <w:contextualSpacing/>
        <w:rPr>
          <w:rFonts w:ascii="宋体" w:hAnsi="宋体" w:cs="仿宋"/>
          <w:sz w:val="24"/>
          <w:szCs w:val="24"/>
        </w:rPr>
      </w:pPr>
      <w:r>
        <w:rPr>
          <w:rFonts w:hint="eastAsia" w:ascii="宋体" w:hAnsi="宋体" w:cs="仿宋"/>
          <w:sz w:val="24"/>
          <w:szCs w:val="24"/>
        </w:rPr>
        <w:t xml:space="preserve">（2）风险识别模型服务</w:t>
      </w:r>
      <w:r/>
    </w:p>
    <w:p>
      <w:pPr>
        <w:contextualSpacing/>
        <w:rPr>
          <w:rFonts w:ascii="宋体" w:hAnsi="宋体" w:cs="仿宋"/>
          <w:sz w:val="24"/>
          <w:szCs w:val="24"/>
        </w:rPr>
      </w:pPr>
      <w:r>
        <w:rPr>
          <w:rFonts w:hint="eastAsia" w:ascii="宋体" w:hAnsi="宋体" w:cs="仿宋"/>
          <w:sz w:val="24"/>
          <w:szCs w:val="24"/>
        </w:rPr>
        <w:t xml:space="preserve">1.短期内买卖房屋、虚构住房交易买卖骗取住房公积金</w:t>
      </w:r>
      <w:r/>
    </w:p>
    <w:p>
      <w:pPr>
        <w:contextualSpacing/>
        <w:rPr>
          <w:rFonts w:ascii="宋体" w:hAnsi="宋体" w:cs="仿宋"/>
          <w:sz w:val="24"/>
          <w:szCs w:val="24"/>
        </w:rPr>
      </w:pPr>
      <w:r>
        <w:rPr>
          <w:rFonts w:ascii="宋体" w:hAnsi="宋体" w:cs="仿宋"/>
          <w:sz w:val="24"/>
          <w:szCs w:val="24"/>
        </w:rPr>
        <w:t xml:space="preserve">基于个人、房屋、业务等主体数据及个人与个人、个人与房屋等关系数据和图谱节点关系，建立风险识别模型，筛查一段时间内由同一产权人或不同产权人办理超阈值次数的购房提取业务，识别结果记录入疑点数据。</w:t>
      </w:r>
      <w:r/>
    </w:p>
    <w:p>
      <w:pPr>
        <w:contextualSpacing/>
        <w:rPr>
          <w:rFonts w:ascii="宋体" w:hAnsi="宋体" w:cs="仿宋"/>
          <w:sz w:val="24"/>
          <w:szCs w:val="24"/>
        </w:rPr>
      </w:pPr>
      <w:r>
        <w:rPr>
          <w:rFonts w:hint="eastAsia" w:ascii="宋体" w:hAnsi="宋体" w:cs="仿宋"/>
          <w:sz w:val="24"/>
          <w:szCs w:val="24"/>
        </w:rPr>
        <w:t xml:space="preserve">2.个人存在房屋但后续发生违规租房提取</w:t>
      </w:r>
      <w:r/>
    </w:p>
    <w:p>
      <w:pPr>
        <w:contextualSpacing/>
        <w:rPr>
          <w:rFonts w:ascii="宋体" w:hAnsi="宋体" w:cs="仿宋"/>
          <w:sz w:val="24"/>
          <w:szCs w:val="24"/>
        </w:rPr>
      </w:pPr>
      <w:r>
        <w:rPr>
          <w:rFonts w:ascii="宋体" w:hAnsi="宋体" w:cs="仿宋"/>
          <w:sz w:val="24"/>
          <w:szCs w:val="24"/>
        </w:rPr>
        <w:t xml:space="preserve">基于个人与房屋关系数据和图谱节点关系，从提取业务记录中建立个人违规租房风险识别模型，筛查指定的时间周期范围内，个人存在房屋但是发生租房提取的业务，并记录入疑点数据中。</w:t>
      </w:r>
      <w:r/>
    </w:p>
    <w:p>
      <w:pPr>
        <w:contextualSpacing/>
        <w:rPr>
          <w:rFonts w:ascii="宋体" w:hAnsi="宋体" w:cs="仿宋"/>
          <w:sz w:val="24"/>
          <w:szCs w:val="24"/>
        </w:rPr>
      </w:pPr>
      <w:r>
        <w:rPr>
          <w:rFonts w:hint="eastAsia" w:ascii="宋体" w:hAnsi="宋体" w:cs="仿宋"/>
          <w:sz w:val="24"/>
          <w:szCs w:val="24"/>
        </w:rPr>
        <w:t xml:space="preserve">3.夫妻双方拥有住房但后续任意一方发生违规租房提取</w:t>
      </w:r>
      <w:r/>
    </w:p>
    <w:p>
      <w:pPr>
        <w:contextualSpacing/>
        <w:rPr>
          <w:rFonts w:ascii="宋体" w:hAnsi="宋体" w:cs="仿宋"/>
          <w:sz w:val="24"/>
          <w:szCs w:val="24"/>
        </w:rPr>
      </w:pPr>
      <w:r>
        <w:rPr>
          <w:rFonts w:ascii="宋体" w:hAnsi="宋体" w:cs="仿宋"/>
          <w:sz w:val="24"/>
          <w:szCs w:val="24"/>
        </w:rPr>
        <w:t xml:space="preserve">基于个人与个人、个人与房屋关系数据和图谱节点关系，从提取业务记录中建立夫妻双方任意一方违规租房提取的风险识别模型，筛查指定时间范围内，夫妻双方存在房屋，但发生租房提取的业务记录。</w:t>
      </w:r>
      <w:r/>
    </w:p>
    <w:p>
      <w:pPr>
        <w:contextualSpacing/>
        <w:rPr>
          <w:rFonts w:ascii="宋体" w:hAnsi="宋体" w:cs="仿宋"/>
          <w:sz w:val="24"/>
          <w:szCs w:val="24"/>
        </w:rPr>
      </w:pPr>
      <w:r>
        <w:rPr>
          <w:rFonts w:hint="eastAsia" w:ascii="宋体" w:hAnsi="宋体" w:cs="仿宋"/>
          <w:sz w:val="24"/>
          <w:szCs w:val="24"/>
        </w:rPr>
        <w:t xml:space="preserve">4.某个职工或家庭存在超两笔以上还款中或结清的贷款</w:t>
      </w:r>
      <w:r/>
    </w:p>
    <w:p>
      <w:pPr>
        <w:contextualSpacing/>
        <w:rPr>
          <w:rFonts w:ascii="宋体" w:hAnsi="宋体" w:cs="仿宋"/>
          <w:sz w:val="24"/>
          <w:szCs w:val="24"/>
        </w:rPr>
      </w:pPr>
      <w:r>
        <w:rPr>
          <w:rFonts w:ascii="宋体" w:hAnsi="宋体" w:cs="仿宋"/>
          <w:sz w:val="24"/>
          <w:szCs w:val="24"/>
        </w:rPr>
        <w:t xml:space="preserve">基于个人与个人关系数据和图谱节点关系，从贷款业务中建立职工个人或家庭存在超两笔贷款的风险识别模型。</w:t>
      </w:r>
      <w:r/>
    </w:p>
    <w:p>
      <w:pPr>
        <w:contextualSpacing/>
        <w:rPr>
          <w:rFonts w:ascii="宋体" w:hAnsi="宋体" w:cs="仿宋"/>
          <w:sz w:val="24"/>
          <w:szCs w:val="24"/>
        </w:rPr>
      </w:pPr>
      <w:r>
        <w:rPr>
          <w:rFonts w:hint="eastAsia" w:ascii="宋体" w:hAnsi="宋体" w:cs="仿宋"/>
          <w:sz w:val="24"/>
          <w:szCs w:val="24"/>
        </w:rPr>
        <w:t xml:space="preserve">5.同一套房屋在住房公积金存在多笔还款中的贷款</w:t>
      </w:r>
      <w:r/>
    </w:p>
    <w:p>
      <w:pPr>
        <w:contextualSpacing/>
        <w:rPr>
          <w:rFonts w:ascii="宋体" w:hAnsi="宋体" w:cs="仿宋"/>
          <w:sz w:val="24"/>
          <w:szCs w:val="24"/>
        </w:rPr>
      </w:pPr>
      <w:r>
        <w:rPr>
          <w:rFonts w:ascii="宋体" w:hAnsi="宋体" w:cs="仿宋"/>
          <w:sz w:val="24"/>
          <w:szCs w:val="24"/>
        </w:rPr>
        <w:t xml:space="preserve">通过对房屋地址进行清洗、以及使用AI相似性算法计算相似地址之后建立的地址与地址相似关系，房屋与地址关系和其图谱节点关系等，从贷款业务中建立一房多贷的风险识别模型。</w:t>
      </w:r>
      <w:r/>
    </w:p>
    <w:p>
      <w:pPr>
        <w:contextualSpacing/>
        <w:rPr>
          <w:rFonts w:ascii="宋体" w:hAnsi="宋体" w:cs="仿宋"/>
          <w:sz w:val="24"/>
          <w:szCs w:val="24"/>
        </w:rPr>
      </w:pPr>
      <w:r>
        <w:rPr>
          <w:rFonts w:hint="eastAsia" w:ascii="宋体" w:hAnsi="宋体" w:cs="仿宋"/>
          <w:sz w:val="24"/>
          <w:szCs w:val="24"/>
        </w:rPr>
        <w:t xml:space="preserve">6.同一经办人办理的多笔贷款发生贷款逾期</w:t>
      </w:r>
      <w:r/>
    </w:p>
    <w:p>
      <w:pPr>
        <w:contextualSpacing/>
        <w:rPr>
          <w:rFonts w:ascii="宋体" w:hAnsi="宋体" w:cs="仿宋"/>
          <w:sz w:val="24"/>
          <w:szCs w:val="24"/>
        </w:rPr>
      </w:pPr>
      <w:r>
        <w:rPr>
          <w:rFonts w:ascii="宋体" w:hAnsi="宋体" w:cs="仿宋"/>
          <w:sz w:val="24"/>
          <w:szCs w:val="24"/>
        </w:rPr>
        <w:t xml:space="preserve">基于经办人员与业务之间的关系数据和图谱节点关系，从贷款业务中建立经办人办理多笔逾期贷款的风险识别模型，筛查指定时间范围内，某一经办人员办理超过阈值笔数的逾期贷款业务。</w:t>
      </w:r>
      <w:r/>
    </w:p>
    <w:p>
      <w:pPr>
        <w:contextualSpacing/>
        <w:rPr>
          <w:rFonts w:ascii="宋体" w:hAnsi="宋体" w:cs="仿宋"/>
          <w:sz w:val="24"/>
          <w:szCs w:val="24"/>
        </w:rPr>
      </w:pPr>
      <w:r>
        <w:rPr>
          <w:rFonts w:hint="eastAsia" w:ascii="宋体" w:hAnsi="宋体" w:cs="仿宋"/>
          <w:sz w:val="24"/>
          <w:szCs w:val="24"/>
        </w:rPr>
        <w:t xml:space="preserve">7.同一经办人办理的多笔提取业务存在骗提套取的情况</w:t>
      </w:r>
      <w:r/>
    </w:p>
    <w:p>
      <w:pPr>
        <w:contextualSpacing/>
        <w:rPr>
          <w:rFonts w:ascii="宋体" w:hAnsi="宋体" w:cs="仿宋"/>
          <w:sz w:val="24"/>
          <w:szCs w:val="24"/>
        </w:rPr>
      </w:pPr>
      <w:r>
        <w:rPr>
          <w:rFonts w:ascii="宋体" w:hAnsi="宋体" w:cs="仿宋"/>
          <w:sz w:val="24"/>
          <w:szCs w:val="24"/>
        </w:rPr>
        <w:t xml:space="preserve">基于经办人员与业务之间的关系数据和图谱节点关系，从已标记为骗提业务的数据中，建立经办人员办理多笔骗提业务的风险识别模型，筛查指定时间范围内，某一经办人员办理超过阈值笔数的骗提套取业务。</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3.</w:t>
      </w:r>
      <w:r>
        <w:rPr>
          <w:rFonts w:ascii="宋体" w:hAnsi="宋体" w:cs="宋体"/>
          <w:color w:val="000000"/>
          <w:sz w:val="24"/>
        </w:rPr>
        <w:t xml:space="preserve">验收标准</w:t>
      </w:r>
      <w:r/>
    </w:p>
    <w:p>
      <w:pPr>
        <w:widowControl/>
        <w:rPr>
          <w:rFonts w:ascii="宋体" w:hAnsi="宋体"/>
          <w:b/>
          <w:sz w:val="24"/>
        </w:rPr>
      </w:pPr>
      <w:r>
        <w:rPr>
          <w:rFonts w:hint="eastAsia" w:ascii="宋体" w:hAnsi="宋体" w:cs="仿宋"/>
          <w:color w:val="000000"/>
          <w:sz w:val="24"/>
        </w:rPr>
        <w:t xml:space="preserve">在合同期满后，招标人组建验收小组对照采购需求、采购合同、招投标文件等开展履约验收工作。</w:t>
      </w:r>
      <w:r>
        <w:rPr>
          <w:rFonts w:eastAsia="Times New Roman"/>
          <w:b/>
          <w:color w:val="000000"/>
          <w:sz w:val="24"/>
        </w:rPr>
        <w:t xml:space="preserve"> </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4.</w:t>
      </w:r>
      <w:r>
        <w:rPr>
          <w:rFonts w:ascii="宋体" w:hAnsi="宋体" w:cs="宋体"/>
          <w:color w:val="000000"/>
          <w:sz w:val="24"/>
        </w:rPr>
        <w:t xml:space="preserve">其他要求</w:t>
      </w: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rPr>
          <w:rFonts w:ascii="宋体" w:hAnsi="宋体" w:cs="宋体"/>
          <w:b/>
          <w:color w:val="000000"/>
          <w:sz w:val="28"/>
        </w:r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5.</w:t>
      </w:r>
      <w:r>
        <w:rPr>
          <w:rFonts w:ascii="宋体" w:hAnsi="宋体" w:cs="宋体"/>
          <w:b/>
          <w:color w:val="000000"/>
          <w:sz w:val="28"/>
        </w:rPr>
        <w:t xml:space="preserve">实质性要求</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6.</w:t>
      </w:r>
      <w:r>
        <w:rPr>
          <w:rFonts w:ascii="宋体" w:hAnsi="宋体" w:cs="宋体"/>
          <w:color w:val="000000"/>
          <w:sz w:val="24"/>
        </w:rPr>
        <w:t xml:space="preserve">样品</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7.</w:t>
      </w:r>
      <w:r>
        <w:rPr>
          <w:rFonts w:ascii="宋体" w:hAnsi="宋体" w:cs="宋体"/>
          <w:color w:val="000000"/>
          <w:sz w:val="24"/>
        </w:rPr>
        <w:t xml:space="preserve">演示</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8.采购标的对应的中小企业划分标准所属行业一览表</w:t>
      </w:r>
      <w:r/>
    </w:p>
    <w:tbl>
      <w:tblPr>
        <w:tblStyle w:val="689"/>
        <w:tblW w:w="66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bCs/>
                <w:color w:val="000000"/>
                <w:sz w:val="24"/>
              </w:rPr>
              <w:t xml:space="preserve">常州市住房公积金管理中心2025年度智慧公积金软件专项运维服务项目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bookmarkStart w:id="3" w:name="_Hlk211955302"/>
            <w:r>
              <w:rPr>
                <w:rFonts w:hint="eastAsia" w:ascii="宋体" w:hAnsi="宋体"/>
                <w:bCs/>
                <w:color w:val="000000"/>
                <w:sz w:val="24"/>
              </w:rPr>
              <w:t xml:space="preserve">软件和信息技术服务业</w:t>
            </w:r>
            <w:r>
              <w:rPr>
                <w:rFonts w:ascii="宋体" w:hAnsi="宋体" w:cs="宋体"/>
                <w:color w:val="000000"/>
                <w:sz w:val="24"/>
              </w:rPr>
              <w:t xml:space="preserve"> </w:t>
            </w:r>
            <w:bookmarkEnd w:id="3"/>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w:t>
      </w:r>
      <w:r>
        <w:rPr>
          <w:rFonts w:ascii="Calibri" w:hAnsi="Calibri" w:eastAsia="Calibri" w:cs="Calibri"/>
          <w:b/>
          <w:color w:val="000000"/>
          <w:sz w:val="44"/>
        </w:rPr>
        <w:t xml:space="preserve"> </w:t>
      </w:r>
      <w:r>
        <w:rPr>
          <w:rFonts w:ascii="黑体" w:hAnsi="黑体" w:eastAsia="黑体" w:cs="黑体"/>
          <w:b/>
          <w:color w:val="000000"/>
          <w:sz w:val="44"/>
        </w:rPr>
        <w:t xml:space="preserve"> 评标方法与评标标准</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3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rPr>
          <w:rFonts w:ascii="宋体" w:hAnsi="宋体" w:cs="宋体"/>
          <w:color w:val="000000"/>
        </w:rPr>
        <w:t xml:space="preserve">投标文件满足招标文件全部实质性要求，且按照评审因素的量化指标评审得分最高的投标人为中标候选人。本项目分包选取一名中标候选人。</w:t>
      </w:r>
      <w:r/>
    </w:p>
    <w:p>
      <w:pPr>
        <w:ind w:firstLine="441"/>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本项目属于专门面向中小企业预留份额采购项目，按规定不再执行小微型企业价格扣除政策。</w:t>
      </w:r>
      <w:r/>
    </w:p>
    <w:p>
      <w:pPr>
        <w:ind w:firstLine="482"/>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2"/>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689"/>
        <w:tblW w:w="89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367"/>
        <w:gridCol w:w="4041"/>
        <w:gridCol w:w="760"/>
        <w:gridCol w:w="588"/>
        <w:gridCol w:w="703"/>
        <w:gridCol w:w="703"/>
      </w:tblGrid>
      <w:tr>
        <w:trPr>
          <w:trHeight w:val="113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评分标准和评审材料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最低分值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最高分值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仿宋"/>
                <w:sz w:val="24"/>
                <w:szCs w:val="24"/>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widowControl/>
              <w:rPr>
                <w:rFonts w:ascii="宋体" w:hAnsi="宋体" w:cs="宋体"/>
                <w:bCs/>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评分因素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评分标准和评审材料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最低分值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最高分值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是否暗标评审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是否客观分</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技术分</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下列（2.1——2.14）评分项属于暗标评审项，各投标人（供应商）提供评审材料（含样品）中不能出现投标人（供应商）的名称、标志、标记以及其它能够体现投标人（供应商）的信息，否则所有暗标评审项目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70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个人住房贷款“一件事”方案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bCs/>
                <w:sz w:val="24"/>
                <w:szCs w:val="24"/>
              </w:rPr>
            </w:pPr>
            <w:r>
              <w:rPr>
                <w:rFonts w:hint="eastAsia" w:ascii="宋体" w:hAnsi="宋体" w:cs="宋体"/>
                <w:sz w:val="24"/>
                <w:szCs w:val="24"/>
              </w:rPr>
              <w:t xml:space="preserve">企业迁移登记“一件事”方案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jc w:val="left"/>
              <w:spacing w:line="279" w:lineRule="atLeast"/>
              <w:rPr>
                <w:rFonts w:ascii="宋体" w:hAnsi="宋体" w:cs="仿宋"/>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bCs/>
                <w:sz w:val="24"/>
                <w:szCs w:val="24"/>
              </w:rPr>
            </w:pPr>
            <w:r>
              <w:rPr>
                <w:rFonts w:hint="eastAsia" w:ascii="宋体" w:hAnsi="宋体" w:cs="宋体"/>
                <w:sz w:val="24"/>
                <w:szCs w:val="24"/>
              </w:rPr>
              <w:t xml:space="preserve">社会保障卡居民服务“一件事”方案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jc w:val="left"/>
              <w:spacing w:line="279" w:lineRule="atLeast"/>
              <w:rPr>
                <w:rFonts w:ascii="宋体" w:hAnsi="宋体" w:cs="仿宋"/>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bCs/>
                <w:sz w:val="24"/>
                <w:szCs w:val="24"/>
              </w:rPr>
            </w:pPr>
            <w:r>
              <w:rPr>
                <w:rFonts w:hint="eastAsia" w:ascii="宋体" w:hAnsi="宋体" w:cs="宋体"/>
                <w:sz w:val="24"/>
                <w:szCs w:val="24"/>
              </w:rPr>
              <w:t xml:space="preserve">住房公积金个人事项“亮码可办”方案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s="仿宋"/>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bCs/>
                <w:sz w:val="24"/>
                <w:szCs w:val="24"/>
              </w:rPr>
            </w:pPr>
            <w:r>
              <w:rPr>
                <w:rFonts w:hint="eastAsia" w:ascii="宋体" w:hAnsi="宋体" w:cs="宋体"/>
                <w:sz w:val="24"/>
                <w:szCs w:val="24"/>
              </w:rPr>
              <w:t xml:space="preserve">网络化管理系统改版</w:t>
            </w:r>
            <w:r>
              <w:rPr>
                <w:rFonts w:hint="eastAsia" w:ascii="宋体" w:hAnsi="宋体"/>
                <w:sz w:val="24"/>
                <w:szCs w:val="24"/>
              </w:rPr>
              <w:t xml:space="preserve">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bCs/>
                <w:sz w:val="24"/>
                <w:szCs w:val="24"/>
              </w:rPr>
            </w:pPr>
            <w:r>
              <w:rPr>
                <w:rFonts w:hint="eastAsia" w:ascii="宋体" w:hAnsi="宋体" w:cs="宋体"/>
                <w:bCs/>
                <w:sz w:val="24"/>
                <w:szCs w:val="24"/>
              </w:rPr>
              <w:t xml:space="preserve">智慧公积金数字经办人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s="仿宋"/>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sz w:val="24"/>
                <w:szCs w:val="24"/>
              </w:rPr>
            </w:pPr>
            <w:r>
              <w:rPr>
                <w:rFonts w:hint="eastAsia" w:ascii="宋体" w:hAnsi="宋体" w:cs="宋体"/>
                <w:sz w:val="24"/>
                <w:szCs w:val="24"/>
              </w:rPr>
              <w:t xml:space="preserve">柜外肩并肩主动服务</w:t>
            </w:r>
            <w:r>
              <w:rPr>
                <w:rFonts w:hint="eastAsia" w:ascii="宋体" w:hAnsi="宋体"/>
                <w:sz w:val="24"/>
                <w:szCs w:val="24"/>
              </w:rPr>
              <w:t xml:space="preserve">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sz w:val="24"/>
                <w:szCs w:val="24"/>
              </w:rPr>
            </w:pPr>
            <w:r>
              <w:rPr>
                <w:rFonts w:hint="eastAsia" w:ascii="宋体" w:hAnsi="宋体" w:cs="宋体"/>
                <w:sz w:val="24"/>
                <w:szCs w:val="24"/>
              </w:rPr>
              <w:t xml:space="preserve">模拟演示系统</w:t>
            </w:r>
            <w:r>
              <w:rPr>
                <w:rFonts w:hint="eastAsia" w:ascii="宋体" w:hAnsi="宋体"/>
                <w:sz w:val="24"/>
                <w:szCs w:val="24"/>
              </w:rPr>
              <w:t xml:space="preserve">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sz w:val="24"/>
                <w:szCs w:val="24"/>
              </w:rPr>
            </w:pPr>
            <w:r>
              <w:rPr>
                <w:rFonts w:hint="eastAsia" w:ascii="宋体" w:hAnsi="宋体" w:cs="宋体"/>
                <w:sz w:val="24"/>
                <w:szCs w:val="24"/>
              </w:rPr>
              <w:t xml:space="preserve">会计档案电子化方案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sz w:val="24"/>
                <w:szCs w:val="24"/>
              </w:rPr>
            </w:pPr>
            <w:r>
              <w:rPr>
                <w:rFonts w:hint="eastAsia" w:ascii="宋体" w:hAnsi="宋体" w:cs="宋体"/>
                <w:sz w:val="24"/>
                <w:szCs w:val="24"/>
              </w:rPr>
              <w:t xml:space="preserve">风险防控方案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提供人员保障、响应服务时限、开发测试等内容的方案：方案完整有序，可操作性强，得5分；方案较为合理，通俗可操作，得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sz w:val="24"/>
                <w:szCs w:val="24"/>
              </w:rPr>
            </w:pPr>
            <w:r>
              <w:rPr>
                <w:rFonts w:hint="eastAsia" w:ascii="宋体" w:hAnsi="宋体" w:cs="宋体"/>
                <w:sz w:val="24"/>
                <w:szCs w:val="24"/>
              </w:rPr>
              <w:t xml:space="preserve">业务的熟悉与理解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业务的熟悉与理解，包括现状分析、招标需求理解：对采购单位业务系统以及数据结构情况非常熟悉，了解采购人的服务需求，重点难点分析正确，针对重点难点的措施切实可行得5分；基本熟悉和有一定的可操作性的得3分；基本情况熟悉度一般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sz w:val="24"/>
                <w:szCs w:val="24"/>
              </w:rPr>
            </w:pPr>
            <w:r>
              <w:rPr>
                <w:rFonts w:hint="eastAsia" w:ascii="宋体" w:hAnsi="宋体" w:cs="宋体"/>
                <w:sz w:val="24"/>
                <w:szCs w:val="24"/>
              </w:rPr>
              <w:t xml:space="preserve">系统优化方案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系统优化方案，包括结合中心业务实际提出的性能优化、数据管理规范等方面，提供人员保障、响应服务时限、开发测试、安全保密等内容的方案：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sz w:val="24"/>
                <w:szCs w:val="24"/>
              </w:rPr>
            </w:pPr>
            <w:r>
              <w:rPr>
                <w:rFonts w:hint="eastAsia" w:ascii="宋体" w:hAnsi="宋体" w:cs="宋体"/>
                <w:sz w:val="24"/>
                <w:szCs w:val="24"/>
              </w:rPr>
              <w:t xml:space="preserve">与现有系统的对接方案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与现有系统的对接包括各类组建、接口、规则、流程等方面</w:t>
            </w:r>
            <w:r>
              <w:rPr>
                <w:rFonts w:hint="eastAsia" w:ascii="宋体" w:hAnsi="宋体"/>
                <w:color w:val="000000"/>
                <w:sz w:val="24"/>
                <w:szCs w:val="24"/>
              </w:rPr>
              <w:t xml:space="preserve">，</w:t>
            </w:r>
            <w:r>
              <w:rPr>
                <w:rFonts w:hint="eastAsia" w:ascii="宋体" w:hAnsi="宋体" w:cs="宋体"/>
                <w:color w:val="000000"/>
                <w:sz w:val="24"/>
                <w:szCs w:val="24"/>
              </w:rPr>
              <w:t xml:space="preserve">提供人员保障、响应服务时限、开发测试、安全保密等内容的方案：评审小组根据各投标人针对本项目提出运维过程中的与现有业务系统无缝对接方案进行评审：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sz w:val="24"/>
                <w:szCs w:val="24"/>
              </w:rPr>
            </w:pPr>
            <w:r>
              <w:rPr>
                <w:rFonts w:hint="eastAsia" w:ascii="宋体" w:hAnsi="宋体" w:cs="宋体"/>
                <w:sz w:val="24"/>
                <w:szCs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售后服务方案，包括售后服务保证措施、服务和技术支持等，提供人员保障、响应服务时限、安全保密等内容的方案：评审小组根据各投标人针对本项目提供的方案进行评审：方案完整有序，可操作性强，得5分；方案较为合理，通俗可操作，得</w:t>
            </w:r>
            <w:r>
              <w:rPr>
                <w:rFonts w:hint="eastAsia" w:ascii="宋体" w:hAnsi="宋体"/>
                <w:color w:val="000000"/>
                <w:sz w:val="24"/>
                <w:szCs w:val="24"/>
              </w:rPr>
              <w:t xml:space="preserve">3</w:t>
            </w:r>
            <w:r>
              <w:rPr>
                <w:rFonts w:hint="eastAsia" w:ascii="宋体" w:hAnsi="宋体" w:cs="宋体"/>
                <w:color w:val="000000"/>
                <w:sz w:val="24"/>
                <w:szCs w:val="24"/>
              </w:rPr>
              <w:t xml:space="preserve">分；方案基本合理，具有一定可操作性的，得1分；方案</w:t>
            </w:r>
            <w:r>
              <w:rPr>
                <w:rFonts w:hint="eastAsia" w:ascii="宋体" w:hAnsi="宋体"/>
                <w:color w:val="000000"/>
                <w:sz w:val="24"/>
                <w:szCs w:val="24"/>
              </w:rPr>
              <w:t xml:space="preserve">与本项目无关</w:t>
            </w:r>
            <w:r>
              <w:rPr>
                <w:rFonts w:hint="eastAsia" w:ascii="宋体" w:hAnsi="宋体" w:cs="宋体"/>
                <w:color w:val="000000"/>
                <w:sz w:val="24"/>
                <w:szCs w:val="24"/>
              </w:rPr>
              <w:t xml:space="preserve">或未提供不得分。</w:t>
            </w:r>
            <w:r/>
          </w:p>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商务分</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bCs/>
                <w:sz w:val="24"/>
                <w:szCs w:val="24"/>
              </w:rPr>
            </w:pPr>
            <w:r>
              <w:rPr>
                <w:rFonts w:hint="eastAsia" w:ascii="宋体" w:hAnsi="宋体" w:cs="宋体"/>
                <w:sz w:val="24"/>
                <w:szCs w:val="24"/>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s="仿宋"/>
                <w:color w:val="000000"/>
                <w:sz w:val="24"/>
                <w:szCs w:val="24"/>
              </w:rPr>
            </w:pPr>
            <w:r>
              <w:rPr>
                <w:rFonts w:hint="eastAsia" w:ascii="宋体" w:hAnsi="宋体" w:cs="宋体"/>
                <w:color w:val="000000"/>
                <w:sz w:val="24"/>
                <w:szCs w:val="24"/>
              </w:rPr>
              <w:t xml:space="preserve">20</w:t>
            </w:r>
            <w:r>
              <w:rPr>
                <w:rFonts w:hint="eastAsia" w:ascii="宋体" w:hAnsi="宋体"/>
                <w:color w:val="000000"/>
                <w:sz w:val="24"/>
                <w:szCs w:val="24"/>
              </w:rPr>
              <w:t xml:space="preserve">22</w:t>
            </w:r>
            <w:r>
              <w:rPr>
                <w:rFonts w:hint="eastAsia" w:ascii="宋体" w:hAnsi="宋体" w:cs="宋体"/>
                <w:color w:val="000000"/>
                <w:sz w:val="24"/>
                <w:szCs w:val="24"/>
              </w:rPr>
              <w:t xml:space="preserve">年</w:t>
            </w:r>
            <w:r>
              <w:rPr>
                <w:rFonts w:hint="eastAsia" w:ascii="宋体" w:hAnsi="宋体"/>
                <w:color w:val="000000"/>
                <w:sz w:val="24"/>
                <w:szCs w:val="24"/>
              </w:rPr>
              <w:t xml:space="preserve">1月1日</w:t>
            </w:r>
            <w:r>
              <w:rPr>
                <w:rFonts w:hint="eastAsia" w:ascii="宋体" w:hAnsi="宋体" w:cs="宋体"/>
                <w:color w:val="000000"/>
                <w:sz w:val="24"/>
                <w:szCs w:val="24"/>
              </w:rPr>
              <w:t xml:space="preserve">以来，投标人具有软件维保类似项目案例的</w:t>
            </w:r>
            <w:r>
              <w:rPr>
                <w:rFonts w:hint="eastAsia" w:ascii="宋体" w:hAnsi="宋体"/>
                <w:color w:val="000000"/>
                <w:sz w:val="24"/>
                <w:szCs w:val="24"/>
              </w:rPr>
              <w:t xml:space="preserve">（时间以合同签订时间为准）</w:t>
            </w:r>
            <w:r>
              <w:rPr>
                <w:rFonts w:hint="eastAsia" w:ascii="宋体" w:hAnsi="宋体" w:cs="宋体"/>
                <w:color w:val="000000"/>
                <w:sz w:val="24"/>
                <w:szCs w:val="24"/>
              </w:rPr>
              <w:t xml:space="preserve">，每1个得1分，最高4分，</w:t>
            </w:r>
            <w:r>
              <w:rPr>
                <w:rFonts w:hint="eastAsia" w:ascii="宋体" w:hAnsi="宋体" w:cs="宋体"/>
                <w:bCs/>
                <w:sz w:val="24"/>
                <w:szCs w:val="24"/>
              </w:rPr>
              <w:t xml:space="preserve">提供合同扫描件并加盖投标人公章</w:t>
            </w:r>
            <w:r>
              <w:rPr>
                <w:rFonts w:hint="eastAsia" w:ascii="宋体" w:hAnsi="宋体" w:cs="仿宋"/>
                <w:sz w:val="24"/>
                <w:szCs w:val="24"/>
              </w:rPr>
              <w:t xml:space="preserve">，</w:t>
            </w:r>
            <w:r>
              <w:rPr>
                <w:rFonts w:hint="eastAsia" w:ascii="宋体" w:hAnsi="宋体" w:cs="宋体"/>
                <w:color w:val="000000"/>
                <w:sz w:val="24"/>
                <w:szCs w:val="24"/>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cs="仿宋"/>
                <w:sz w:val="24"/>
                <w:szCs w:val="24"/>
              </w:rPr>
            </w:pPr>
            <w:r>
              <w:rPr>
                <w:rFonts w:hint="eastAsia" w:ascii="宋体" w:hAnsi="宋体" w:cs="仿宋"/>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bCs/>
                <w:sz w:val="24"/>
                <w:szCs w:val="24"/>
              </w:rPr>
            </w:pPr>
            <w:r>
              <w:rPr>
                <w:rFonts w:hint="eastAsia" w:ascii="宋体" w:hAnsi="宋体" w:cs="宋体"/>
                <w:sz w:val="24"/>
                <w:szCs w:val="24"/>
              </w:rPr>
              <w:t xml:space="preserve">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1、具有有效的ISO9001质量管理体系认证，得2分，未提供不得分。</w:t>
            </w:r>
            <w:r/>
          </w:p>
          <w:p>
            <w:pPr>
              <w:rPr>
                <w:rFonts w:ascii="宋体" w:hAnsi="宋体" w:cs="宋体"/>
                <w:color w:val="000000"/>
                <w:sz w:val="24"/>
                <w:szCs w:val="24"/>
              </w:rPr>
            </w:pPr>
            <w:r>
              <w:rPr>
                <w:rFonts w:hint="eastAsia" w:ascii="宋体" w:hAnsi="宋体" w:cs="宋体"/>
                <w:color w:val="000000"/>
                <w:sz w:val="24"/>
                <w:szCs w:val="24"/>
              </w:rPr>
              <w:t xml:space="preserve">2、具有有效的ISO27001信息安全管理体系认证证书，得2分，未提供不得分。</w:t>
            </w:r>
            <w:r/>
          </w:p>
          <w:p>
            <w:pPr>
              <w:rPr>
                <w:rFonts w:ascii="宋体" w:hAnsi="宋体" w:cs="宋体"/>
                <w:color w:val="000000"/>
                <w:sz w:val="24"/>
                <w:szCs w:val="24"/>
              </w:rPr>
            </w:pPr>
            <w:r>
              <w:rPr>
                <w:rFonts w:hint="eastAsia" w:ascii="宋体" w:hAnsi="宋体" w:cs="宋体"/>
                <w:color w:val="000000"/>
                <w:sz w:val="24"/>
                <w:szCs w:val="24"/>
              </w:rPr>
              <w:t xml:space="preserve">3、具有有效的</w:t>
            </w:r>
            <w:r>
              <w:rPr>
                <w:rFonts w:hint="eastAsia" w:ascii="宋体" w:hAnsi="宋体"/>
                <w:color w:val="000000"/>
                <w:sz w:val="24"/>
                <w:szCs w:val="24"/>
              </w:rPr>
              <w:t xml:space="preserve">ISO20000信息技术服务管理体系认证证书</w:t>
            </w:r>
            <w:r>
              <w:rPr>
                <w:rFonts w:hint="eastAsia" w:ascii="宋体" w:hAnsi="宋体" w:cs="宋体"/>
                <w:color w:val="000000"/>
                <w:sz w:val="24"/>
                <w:szCs w:val="24"/>
              </w:rPr>
              <w:t xml:space="preserve">，得2分，未提供不得分。</w:t>
            </w:r>
            <w:r/>
          </w:p>
          <w:p>
            <w:pPr>
              <w:rPr>
                <w:rFonts w:ascii="宋体" w:hAnsi="宋体"/>
                <w:b/>
                <w:color w:val="000000"/>
                <w:sz w:val="24"/>
                <w:szCs w:val="24"/>
              </w:rPr>
            </w:pPr>
            <w:r>
              <w:rPr>
                <w:rFonts w:hint="eastAsia" w:ascii="宋体" w:hAnsi="宋体" w:cs="宋体"/>
                <w:color w:val="000000"/>
                <w:sz w:val="24"/>
                <w:szCs w:val="24"/>
              </w:rPr>
              <w:t xml:space="preserve">4、具有住房公积金行业类软件著作权，著作权名称不同的，提供功能说明由评委判定。每提供1个得2分，本项最高得4分，</w:t>
            </w:r>
            <w:r>
              <w:rPr>
                <w:rFonts w:hint="eastAsia" w:ascii="宋体" w:hAnsi="宋体"/>
                <w:sz w:val="24"/>
                <w:szCs w:val="24"/>
              </w:rPr>
              <w:t xml:space="preserve">提供证书扫描件并加盖投标人公章，</w:t>
            </w:r>
            <w:r>
              <w:rPr>
                <w:rFonts w:hint="eastAsia" w:ascii="宋体" w:hAnsi="宋体" w:cs="宋体"/>
                <w:color w:val="000000"/>
                <w:sz w:val="24"/>
                <w:szCs w:val="24"/>
              </w:rPr>
              <w:t xml:space="preserve">未提供不得分。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spacing w:line="279" w:lineRule="atLeast"/>
              <w:rPr>
                <w:rFonts w:ascii="宋体" w:hAnsi="宋体"/>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sz w:val="24"/>
                <w:szCs w:val="24"/>
              </w:rPr>
            </w:pPr>
            <w:r>
              <w:rPr>
                <w:rFonts w:hint="eastAsia" w:ascii="宋体" w:hAnsi="宋体" w:cs="仿宋"/>
                <w:sz w:val="24"/>
                <w:szCs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1" w:type="dxa"/>
            <w:vAlign w:val="center"/>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jc w:val="center"/>
              <w:spacing w:line="279" w:lineRule="atLeast"/>
              <w:rPr>
                <w:rFonts w:ascii="宋体" w:hAnsi="宋体" w:cs="宋体"/>
                <w:bCs/>
                <w:sz w:val="24"/>
                <w:szCs w:val="24"/>
              </w:rPr>
            </w:pPr>
            <w:r>
              <w:rPr>
                <w:rFonts w:hint="eastAsia" w:ascii="宋体" w:hAnsi="宋体" w:cs="宋体"/>
                <w:sz w:val="24"/>
                <w:szCs w:val="24"/>
              </w:rPr>
              <w:t xml:space="preserve">项目团队专业能力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1"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1、具备项目成员中具有信息安全证书（CISP）得2分。 </w:t>
            </w:r>
            <w:r/>
          </w:p>
          <w:p>
            <w:pPr>
              <w:rPr>
                <w:rFonts w:ascii="宋体" w:hAnsi="宋体" w:cs="宋体"/>
                <w:color w:val="000000"/>
                <w:sz w:val="24"/>
                <w:szCs w:val="24"/>
              </w:rPr>
            </w:pPr>
            <w:r>
              <w:rPr>
                <w:rFonts w:hint="eastAsia" w:ascii="宋体" w:hAnsi="宋体" w:cs="宋体"/>
                <w:color w:val="000000"/>
                <w:sz w:val="24"/>
                <w:szCs w:val="24"/>
              </w:rPr>
              <w:t xml:space="preserve">2、具备软件设计师证书，得2分。</w:t>
            </w:r>
            <w:r/>
          </w:p>
          <w:p>
            <w:pPr>
              <w:rPr>
                <w:rFonts w:ascii="宋体" w:hAnsi="宋体" w:cs="宋体"/>
                <w:color w:val="000000"/>
                <w:sz w:val="24"/>
                <w:szCs w:val="24"/>
              </w:rPr>
            </w:pPr>
            <w:r>
              <w:rPr>
                <w:rFonts w:hint="eastAsia" w:ascii="宋体" w:hAnsi="宋体" w:cs="宋体"/>
                <w:color w:val="000000"/>
                <w:sz w:val="24"/>
                <w:szCs w:val="24"/>
              </w:rPr>
              <w:t xml:space="preserve">3、具备信创规划管理师证书，得2分。</w:t>
            </w:r>
            <w:r/>
          </w:p>
          <w:p>
            <w:pPr>
              <w:rPr>
                <w:rFonts w:ascii="宋体" w:hAnsi="宋体" w:cs="宋体"/>
                <w:color w:val="000000"/>
                <w:sz w:val="24"/>
                <w:szCs w:val="24"/>
              </w:rPr>
            </w:pPr>
            <w:r>
              <w:rPr>
                <w:rFonts w:hint="eastAsia" w:ascii="宋体" w:hAnsi="宋体" w:cs="宋体"/>
                <w:color w:val="000000"/>
                <w:sz w:val="24"/>
                <w:szCs w:val="24"/>
              </w:rPr>
              <w:t xml:space="preserve">项目成员须为本单位正式员工，须提供近三个月任意一个月投标人为其缴纳社保证明，不接受社保委托代缴证明材料扫描件；1、2、3项同一人限评一次，不得重复计分；</w:t>
            </w:r>
            <w:r>
              <w:rPr>
                <w:rFonts w:hint="eastAsia" w:ascii="宋体" w:hAnsi="宋体"/>
                <w:sz w:val="24"/>
                <w:szCs w:val="24"/>
              </w:rPr>
              <w:t xml:space="preserve">相应证明材料加盖投标人公章，</w:t>
            </w:r>
            <w:r>
              <w:rPr>
                <w:rFonts w:hint="eastAsia" w:ascii="宋体" w:hAnsi="宋体"/>
                <w:color w:val="000000"/>
                <w:sz w:val="24"/>
                <w:szCs w:val="24"/>
              </w:rPr>
              <w:t xml:space="preserve">未提供的或无效的不得分。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jc w:val="center"/>
              <w:spacing w:line="279" w:lineRule="atLeast"/>
              <w:rPr>
                <w:rFonts w:ascii="宋体" w:hAnsi="宋体"/>
                <w:b/>
                <w:sz w:val="24"/>
                <w:szCs w:val="24"/>
              </w:rPr>
            </w:pPr>
            <w:r>
              <w:rPr>
                <w:rFonts w:hint="eastAsia" w:ascii="宋体" w:hAnsi="宋体" w:cs="仿宋"/>
                <w:sz w:val="24"/>
                <w:szCs w:val="24"/>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jc w:val="center"/>
              <w:spacing w:line="279" w:lineRule="atLeast"/>
              <w:rPr>
                <w:rFonts w:ascii="宋体" w:hAnsi="宋体"/>
                <w:b/>
                <w:sz w:val="24"/>
                <w:szCs w:val="24"/>
              </w:rPr>
            </w:pPr>
            <w:r>
              <w:rPr>
                <w:rFonts w:hint="eastAsia" w:ascii="宋体" w:hAnsi="宋体" w:cs="仿宋"/>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是</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第六章</w:t>
      </w:r>
      <w:r>
        <w:rPr>
          <w:rFonts w:ascii="Calibri" w:hAnsi="Calibri" w:eastAsia="Calibri" w:cs="Calibri"/>
          <w:b/>
          <w:color w:val="000000"/>
          <w:sz w:val="44"/>
        </w:rPr>
        <w:t xml:space="preserve"> </w:t>
      </w:r>
      <w:r>
        <w:rPr>
          <w:rFonts w:ascii="黑体" w:hAnsi="黑体" w:eastAsia="黑体" w:cs="黑体"/>
          <w:b/>
          <w:color w:val="000000"/>
          <w:sz w:val="44"/>
        </w:rPr>
        <w:t xml:space="preserve"> 投标文件格式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投标文件主要格式目录</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一、投标人资格声明函</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二、特定资格要求的证明文件（如果本项目设置特定资格要求，则需要提供）</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三、法人授权书</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四、投标函</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五、中小企业声明函</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六、残疾人福利性单位声明函或监狱企业证明</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七、联合体协议</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八、投标分项报价表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九、技术要求响应及偏离表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十、商务要求响应及偏离表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十一、开标一览表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一、投标人资格声明函</w:t>
      </w:r>
      <w:r/>
    </w:p>
    <w:p>
      <w:pPr>
        <w:jc w:val="center"/>
        <w:spacing w:before="156"/>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jc w:val="center"/>
        <w:spacing w:before="156"/>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投标人资格声明函</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致：常州市政府采购中心</w:t>
      </w:r>
      <w:r/>
    </w:p>
    <w:p>
      <w:pPr>
        <w:ind w:firstLine="84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（采购人名称）</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按照《中华人民共和国政府采购法》第二十二条和招标文件的规定，我单位郑重声明如下：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一、我单位是按照中华人民共和国法律规定登记注册的，注册地点为</w:t>
      </w:r>
      <w:r>
        <w:rPr>
          <w:rFonts w:eastAsia="Times New Roman"/>
          <w:color w:val="000000"/>
          <w:u w:val="single"/>
        </w:rPr>
        <w:t xml:space="preserve">        </w:t>
      </w:r>
      <w:r>
        <w:rPr>
          <w:rFonts w:ascii="宋体" w:hAnsi="宋体" w:cs="宋体"/>
          <w:color w:val="000000"/>
        </w:rPr>
        <w:t xml:space="preserve">，全称为</w:t>
      </w:r>
      <w:r>
        <w:rPr>
          <w:rFonts w:eastAsia="Times New Roman"/>
          <w:color w:val="000000"/>
          <w:u w:val="single"/>
        </w:rPr>
        <w:t xml:space="preserve">       </w:t>
      </w:r>
      <w:r>
        <w:rPr>
          <w:rFonts w:ascii="宋体" w:hAnsi="宋体" w:cs="宋体"/>
          <w:color w:val="000000"/>
        </w:rPr>
        <w:t xml:space="preserve">，统一社会信用代码为</w:t>
      </w:r>
      <w:r>
        <w:rPr>
          <w:rFonts w:eastAsia="Times New Roman"/>
          <w:color w:val="000000"/>
          <w:u w:val="single"/>
        </w:rPr>
        <w:t xml:space="preserve">          </w:t>
      </w:r>
      <w:r>
        <w:rPr>
          <w:rFonts w:eastAsia="Times New Roman"/>
          <w:color w:val="000000"/>
        </w:rPr>
        <w:t xml:space="preserve"> </w:t>
      </w:r>
      <w:r>
        <w:rPr>
          <w:rFonts w:ascii="宋体" w:hAnsi="宋体" w:cs="宋体"/>
          <w:color w:val="000000"/>
        </w:rPr>
        <w:t xml:space="preserve">，法定代表人（单位负责人）为</w:t>
      </w:r>
      <w:r>
        <w:rPr>
          <w:rFonts w:eastAsia="Times New Roman"/>
          <w:color w:val="000000"/>
          <w:u w:val="single"/>
        </w:rPr>
        <w:t xml:space="preserve">        </w:t>
      </w:r>
      <w:r>
        <w:rPr>
          <w:rFonts w:ascii="宋体" w:hAnsi="宋体" w:cs="宋体"/>
          <w:color w:val="000000"/>
        </w:rPr>
        <w:t xml:space="preserve">，具有独立承担民事责任的能力</w:t>
      </w:r>
      <w:r>
        <w:rPr>
          <w:rFonts w:ascii="宋体" w:hAnsi="宋体" w:cs="宋体"/>
          <w:b/>
          <w:i/>
          <w:color w:val="000000"/>
          <w:u w:val="single"/>
        </w:rPr>
        <w:t xml:space="preserve">（如属于分公司经总公司授权参与项目，由总公司承担民事责任的，需提供总公司项目授权书）</w:t>
      </w:r>
      <w:r>
        <w:rPr>
          <w:rFonts w:ascii="宋体" w:hAnsi="宋体" w:cs="宋体"/>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二、我单位具有良好的商业信誉（指投标人经营状况良好，无本资格声明第十条情形）和健全的财务会计制度。</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三、我单位依法进行纳税和社会保险申报并实际履行了义务。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四、我单位具有履行本项目采购合同所必需的设备和专业技术能力，并具有履行合同的良好记录。为履行本项采购合同我单位具备如下主要设备和主要专业技术能力</w:t>
      </w:r>
      <w:r>
        <w:rPr>
          <w:rFonts w:eastAsia="Times New Roman"/>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主要设备有：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主要专业技术能力有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eastAsia="Times New Roman"/>
          <w:color w:val="000000"/>
        </w:rPr>
        <w:t xml:space="preserve">3</w:t>
      </w:r>
      <w:r>
        <w:rPr>
          <w:rFonts w:ascii="宋体" w:hAnsi="宋体" w:cs="宋体"/>
          <w:color w:val="000000"/>
        </w:rPr>
        <w:t xml:space="preserve">年内因违法经营被禁止在一定期限内参加政府采购活动，期限届满的，可以参加政府采购活动。）</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六、我单位具备法律、行政法规规定的其他条件。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七、与我单位存在“单位负责人为同一人或者存在直接控股、管理关系”的其他单位信息如下（如无此情形的，填写“无”）：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、与我单位的法定代表人（单位负责人）为同一人的其他单位如下：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、我单位直接控股的其他单位如下：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、与我单位存在管理关系的其他单位如下：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八、我单位不属于为本项目提供整体设计、规范编制或者项目管理、监理、检测等服务的投标人。</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九、我单位无以下不良信用记录情形：</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、在“信用中国”网站被列入失信被执行人和重大税收违法案件当事人名单；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、在“中国政府采购网”网站被列入政府采购严重违法失信行为记录名单；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、不符合《政府采购法》第二十二条规定的条件。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我单位保证上述声明的事项都是真实的，如有虚假，我单位愿意承担相应的法律责任，并承担因此所造成的一切损失。</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投标人：（加盖公章）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法定代表人（或单位负责人）签字或盖章：</w:t>
      </w:r>
      <w:r/>
    </w:p>
    <w:p>
      <w:pPr>
        <w:ind w:firstLine="4305"/>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eastAsia="Times New Roman"/>
          <w:color w:val="000000"/>
        </w:rPr>
        <w:t xml:space="preserve">   </w:t>
      </w:r>
      <w:r>
        <w:rPr>
          <w:rFonts w:ascii="宋体" w:hAnsi="宋体" w:cs="宋体"/>
          <w:color w:val="000000"/>
        </w:rPr>
        <w:t xml:space="preserve">年月日</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说明：投标人承诺不实的，依据《政府采购法》第七十七条“提供虚假材料谋取中标、成交的”有关规定予以处理。</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如果本项目申请人的特定资格要求中要求提供的，必须提供。</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w:t>
      </w:r>
      <w:r>
        <w:rPr>
          <w:rFonts w:eastAsia="Times New Roman"/>
          <w:color w:val="000000"/>
          <w:sz w:val="24"/>
          <w:u w:val="single"/>
        </w:rPr>
        <w:t xml:space="preserve">       </w:t>
      </w:r>
      <w:r>
        <w:rPr>
          <w:rFonts w:ascii="宋体" w:hAnsi="宋体" w:cs="宋体"/>
          <w:color w:val="000000"/>
          <w:sz w:val="24"/>
        </w:rPr>
        <w:t xml:space="preserve">号项目采购活动的合法代理人，以本单位名义全权处理一切与该项目采购有关的事务。</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被授权人身份证号码：</w:t>
      </w:r>
      <w:r>
        <w:rPr>
          <w:rFonts w:eastAsia="Times New Roman"/>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被授权人联系电话：（手机）</w:t>
      </w:r>
      <w:r>
        <w:rPr>
          <w:rFonts w:eastAsia="Times New Roman"/>
          <w:color w:val="000000"/>
          <w:sz w:val="24"/>
          <w:u w:val="single"/>
        </w:rPr>
        <w:t xml:space="preserve">                         </w:t>
      </w:r>
      <w:r/>
    </w:p>
    <w:p>
      <w:pPr>
        <w:ind w:firstLine="12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单位地址：</w:t>
      </w:r>
      <w:r>
        <w:rPr>
          <w:rFonts w:eastAsia="Times New Roman"/>
          <w:color w:val="000000"/>
          <w:sz w:val="24"/>
          <w:u w:val="single"/>
        </w:rPr>
        <w:t xml:space="preserve">                                        </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日期：</w:t>
      </w:r>
      <w:r>
        <w:rPr>
          <w:rFonts w:eastAsia="Times New Roman"/>
          <w:color w:val="000000"/>
          <w:sz w:val="24"/>
          <w:u w:val="single"/>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i/>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3390"/>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致：常州市政府采购中心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根据贵方的JSZC-***号招标文件，正式授权下述签字人______(姓名)代表我方______________（投标人的名称），全权处理本次项目投标的有关事宜。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1.按招标文件规定的各项要求，向买方提供所需服务（包含与服务相关的货物）。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         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         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         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期：________年____月____日</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五、中小企业声明函（服务）（分包号：**）</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本公司（联合体）郑重声明，根据《政府采购促进中小企业发展管理办法》(财库[2020]46号)的规定，本公司（联合体）参加常州市政府采购中心组织的</w:t>
      </w:r>
      <w:r>
        <w:rPr>
          <w:rFonts w:ascii="宋体" w:hAnsi="宋体" w:cs="宋体"/>
          <w:color w:val="000000"/>
          <w:sz w:val="24"/>
          <w:u w:val="single"/>
        </w:rPr>
        <w:t xml:space="preserve">（采购单位名称）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hint="eastAsia" w:ascii="宋体" w:hAnsi="宋体" w:cs="宋体"/>
          <w:color w:val="000000"/>
          <w:sz w:val="24"/>
          <w:u w:val="single"/>
        </w:rPr>
        <w:t xml:space="preserve">软件和信息技术服务业</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（中型企业、小型企业、微型企业）；</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（中型企业、小型企业、微型企业）；</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备注2：供应商未提供此声明函的，资格审查不予通过，作为无效投标。此声明函将随中标结果同时公告，接受社会监督。</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六、残疾人福利性单位声明函（分包号：**）</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项目（分包号：**）采购活动由本单位提供服务。</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（备注：如是残疾人福利单位的应提供，否则资格审查不予通过，作为无效投标。此声明函将随中标结果同时公告，接受社会监督）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right="1560" w:firstLine="624"/>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rPr>
          <w:rFonts w:ascii="仿宋" w:hAnsi="仿宋" w:eastAsia="仿宋" w:cs="仿宋"/>
          <w:color w:val="000000"/>
          <w:sz w:val="30"/>
        </w:rPr>
        <w:t xml:space="preserve"> </w:t>
      </w:r>
      <w:r>
        <w:rPr>
          <w:rFonts w:ascii="宋体" w:hAnsi="宋体" w:cs="宋体"/>
          <w:color w:val="000000"/>
          <w:sz w:val="24"/>
        </w:rPr>
        <w:t xml:space="preserve">          供应商全称（加盖CA电子公章）：</w:t>
      </w:r>
      <w:r/>
    </w:p>
    <w:p>
      <w:pPr>
        <w:ind w:right="1560" w:firstLine="480"/>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ind w:firstLine="643"/>
        <w:spacing w:line="587"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监狱企业证明文件</w:t>
      </w:r>
      <w:r>
        <w:rPr>
          <w:rFonts w:ascii="黑体" w:hAnsi="黑体" w:eastAsia="黑体" w:cs="黑体"/>
          <w:b/>
          <w:color w:val="000000"/>
          <w:sz w:val="32"/>
        </w:rPr>
        <w:t xml:space="preserve">。</w:t>
      </w:r>
      <w:r>
        <w:rPr>
          <w:rFonts w:ascii="宋体" w:hAnsi="宋体" w:cs="宋体"/>
          <w:color w:val="000000"/>
          <w:sz w:val="24"/>
        </w:rPr>
        <w:t xml:space="preserve">监狱企业须提供由省级以上监狱管理局、戒毒管理局（含新疆生产建设兵团）出具的属于监狱企业的证明文件。（备注：如是监狱企业的应提供，否则资格审查不予通过，作为无效投标。）</w:t>
      </w:r>
      <w:r/>
    </w:p>
    <w:p>
      <w:pPr>
        <w:ind w:firstLine="630"/>
        <w:spacing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七、联合体协议（参考格式）（分包号：**）</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自愿组成联合体，参加常州市政府采购中心组织的采购编号为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项目（分包号：**）的政府采购活动，我联合体指定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jc w:val="right"/>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八、投标分项报价表（分包号：**）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w:t>
      </w:r>
      <w:r/>
    </w:p>
    <w:tbl>
      <w:tblPr>
        <w:tblStyle w:val="689"/>
        <w:tblW w:w="724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083"/>
        <w:gridCol w:w="1682"/>
        <w:gridCol w:w="759"/>
        <w:gridCol w:w="648"/>
        <w:gridCol w:w="811"/>
        <w:gridCol w:w="1424"/>
      </w:tblGrid>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3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服务期限或者交付期：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cs="Calibri"/>
          <w:b/>
          <w:color w:val="000000"/>
          <w:sz w:val="32"/>
        </w:rPr>
        <w:pBdr>
          <w:top w:val="none" w:color="000000" w:sz="0" w:space="0"/>
          <w:left w:val="none" w:color="000000" w:sz="0" w:space="0"/>
          <w:bottom w:val="none" w:color="000000" w:sz="0" w:space="0"/>
          <w:right w:val="none" w:color="000000" w:sz="0" w:space="0"/>
        </w:pBdr>
      </w:pPr>
      <w:r>
        <w:rPr>
          <w:rFonts w:hint="eastAsia" w:ascii="Calibri" w:hAnsi="Calibri" w:cs="Calibri"/>
          <w:b/>
          <w:color w:val="000000"/>
          <w:sz w:val="32"/>
        </w:rPr>
        <w:t xml:space="preserve">、</w:t>
      </w:r>
      <w:r/>
    </w:p>
    <w:p>
      <w:pPr>
        <w:jc w:val="center"/>
        <w:rPr>
          <w:rFonts w:ascii="Calibri" w:hAnsi="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cs="Calibri"/>
          <w:b/>
          <w:color w:val="000000"/>
          <w:sz w:val="32"/>
        </w:rPr>
      </w:r>
      <w:r/>
    </w:p>
    <w:p>
      <w:pPr>
        <w:jc w:val="center"/>
        <w:rPr>
          <w:rFonts w:ascii="Calibri" w:hAnsi="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cs="Calibri"/>
          <w:b/>
          <w:color w:val="000000"/>
          <w:sz w:val="32"/>
        </w:rPr>
      </w:r>
      <w:r/>
    </w:p>
    <w:p>
      <w:pPr>
        <w:jc w:val="center"/>
        <w:rPr>
          <w:rFonts w:ascii="Calibri" w:hAnsi="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cs="Calibri"/>
          <w:b/>
          <w:color w:val="000000"/>
          <w:sz w:val="32"/>
        </w:rPr>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九、技术要求响应及偏离表（分包号：**）</w:t>
      </w:r>
      <w:r/>
    </w:p>
    <w:tbl>
      <w:tblPr>
        <w:tblStyle w:val="689"/>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768"/>
        <w:gridCol w:w="2394"/>
        <w:gridCol w:w="1104"/>
        <w:gridCol w:w="2621"/>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对本项目技术要求条款的偏离情况（请进行勾选）：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十、商务要求响应及偏离表（分包号：**）</w:t>
      </w:r>
      <w:r/>
    </w:p>
    <w:tbl>
      <w:tblPr>
        <w:tblStyle w:val="689"/>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768"/>
        <w:gridCol w:w="2394"/>
        <w:gridCol w:w="1104"/>
        <w:gridCol w:w="2621"/>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对本项目商务要求条款的偏离情况（请进行勾选）：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jc w:val="cente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十一、开标一览表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分包号：</w:t>
      </w:r>
      <w:r/>
    </w:p>
    <w:tbl>
      <w:tblPr>
        <w:tblStyle w:val="689"/>
        <w:tblW w:w="82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十二、投标（响应）文件通用模板编制和评审要求</w:t>
      </w:r>
      <w:r>
        <w:rPr>
          <w:rFonts w:ascii="宋体" w:hAnsi="宋体" w:cs="宋体"/>
          <w:b/>
          <w:color w:val="000000"/>
          <w:sz w:val="24"/>
        </w:rPr>
        <w:t xml:space="preserve">（本表为通用格式，项目采购文件可能会根据实际情况对栏目作出调整，按照制作工具显示的栏目编制）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689"/>
        <w:tblW w:w="87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946"/>
        <w:gridCol w:w="4920"/>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栏目名称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编制和评审要求</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开标一览表（响应一览表）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《开标一览表（响应一览表）》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《技术要求响应及偏离表》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商务要求响应及偏离表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《商务要求响应及偏离表》</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项目完整技术和实施方案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投标人（供应商）资格声明函</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《投标人（供应商）资格声明函》</w:t>
            </w:r>
            <w:r>
              <w:rPr>
                <w:rFonts w:ascii="宋体" w:hAnsi="宋体" w:cs="宋体"/>
                <w:color w:val="000000"/>
              </w:rPr>
              <w:t xml:space="preserve">。(格式见《投标（响应）文件格式》)</w:t>
            </w: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中小企业声明函等</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《中小企业声明函》或者《残疾人福利性单位声明函》或者监狱企业证明文件</w:t>
            </w:r>
            <w:r>
              <w:rPr>
                <w:rFonts w:ascii="宋体" w:hAnsi="宋体" w:cs="宋体"/>
                <w:color w:val="000000"/>
              </w:rPr>
              <w:t xml:space="preserve">。(格式见《投标（响应）文件格式》)</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如有的提供，否则无需提供。详见第一章《投标（竞谈、磋商、询价）邀请》相关要求。</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是否接受联合体投标（响应）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如是接受联合体投标（响应），且投标人（供应商）组成联合体投标（响应）的必须提供</w:t>
            </w:r>
            <w:r>
              <w:rPr>
                <w:rFonts w:ascii="宋体" w:hAnsi="宋体" w:cs="宋体"/>
                <w:b/>
                <w:color w:val="000000"/>
              </w:rPr>
              <w:t xml:space="preserve">《联合体协议》</w:t>
            </w:r>
            <w:r>
              <w:rPr>
                <w:rFonts w:ascii="宋体" w:hAnsi="宋体" w:cs="宋体"/>
                <w:color w:val="000000"/>
              </w:rPr>
              <w:t xml:space="preserve">原件的电子件，格式见《投标（响应）文件格式》)，否则无需提供。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本项目的特定资格要求</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法人授权书、投标（响应）函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按招标（采购）文件要求提供</w:t>
            </w:r>
            <w:r>
              <w:rPr>
                <w:rFonts w:ascii="宋体" w:hAnsi="宋体" w:cs="宋体"/>
                <w:b/>
                <w:color w:val="000000"/>
              </w:rPr>
              <w:t xml:space="preserve">《法人授权书》</w:t>
            </w:r>
            <w:r>
              <w:rPr>
                <w:rFonts w:ascii="宋体" w:hAnsi="宋体" w:cs="宋体"/>
                <w:color w:val="000000"/>
              </w:rPr>
              <w:t xml:space="preserve">、</w:t>
            </w:r>
            <w:r>
              <w:rPr>
                <w:rFonts w:ascii="宋体" w:hAnsi="宋体" w:cs="宋体"/>
                <w:b/>
                <w:color w:val="000000"/>
              </w:rPr>
              <w:t xml:space="preserve">《投标（响应）函》</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报价唯一性</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投标（响应）文件未出现可选择性或可调整的报价（招标（采购）文件另有规定的除外）；提供</w:t>
            </w:r>
            <w:r>
              <w:rPr>
                <w:rFonts w:ascii="宋体" w:hAnsi="宋体" w:cs="宋体"/>
                <w:b/>
                <w:color w:val="000000"/>
              </w:rPr>
              <w:t xml:space="preserve">《分项报价表》</w:t>
            </w:r>
            <w:r>
              <w:rPr>
                <w:rFonts w:ascii="宋体" w:hAnsi="宋体" w:cs="宋体"/>
                <w:color w:val="000000"/>
              </w:rPr>
              <w:t xml:space="preserve">。(格式见《投标（响应）文件格式》)</w:t>
            </w:r>
            <w:r/>
          </w:p>
        </w:tc>
      </w:tr>
      <w:tr>
        <w:trPr>
          <w:trHeight w:val="1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报价的修正（如有）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签署、加盖公章</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由评委审查，无需供应商提供材料。按照招标（采购）文件要求签署、加盖公章的。</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进口产品（如有）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由评委审查，无需供应商提供材料。投标人（供应商）未将一个采购包中的内容拆开投标。</w:t>
            </w: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公平竞争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国家有关部门对投标产品有强制性规定或要求的</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附加条件</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由评委审查，无需供应商提供材料。投标（响应）文件未含有采购人不能接受的附加条件的。</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其他无效情形</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综合评审评分项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价格折扣文件格式</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小微企业声明函</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属于小微企业的提供符合招标（采购）文件要求的</w:t>
            </w:r>
            <w:r>
              <w:rPr>
                <w:rFonts w:ascii="宋体" w:hAnsi="宋体" w:cs="宋体"/>
                <w:b/>
                <w:color w:val="000000"/>
              </w:rPr>
              <w:t xml:space="preserve">《小微企业声明函》</w:t>
            </w:r>
            <w:r>
              <w:rPr>
                <w:rFonts w:ascii="宋体" w:hAnsi="宋体" w:cs="宋体"/>
                <w:color w:val="000000"/>
              </w:rPr>
              <w:t xml:space="preserve">或者</w:t>
            </w:r>
            <w:r>
              <w:rPr>
                <w:rFonts w:ascii="宋体" w:hAnsi="宋体" w:cs="宋体"/>
                <w:b/>
                <w:color w:val="000000"/>
              </w:rPr>
              <w:t xml:space="preserve">《残疾人福利性单位声明函》</w:t>
            </w:r>
            <w:r>
              <w:rPr>
                <w:rFonts w:ascii="宋体" w:hAnsi="宋体" w:cs="宋体"/>
                <w:color w:val="000000"/>
              </w:rPr>
              <w:t xml:space="preserve">或者</w:t>
            </w:r>
            <w:r>
              <w:rPr>
                <w:rFonts w:ascii="宋体" w:hAnsi="宋体" w:cs="宋体"/>
                <w:b/>
                <w:color w:val="000000"/>
              </w:rPr>
              <w:t xml:space="preserve">监狱企业证明文件</w:t>
            </w:r>
            <w:r>
              <w:rPr>
                <w:rFonts w:ascii="宋体" w:hAnsi="宋体" w:cs="宋体"/>
                <w:color w:val="000000"/>
              </w:rPr>
              <w:t xml:space="preserve">。(格式见《投标（响应）文件格式》)</w:t>
            </w:r>
            <w:r>
              <w:rPr>
                <w:rFonts w:ascii="宋体" w:hAnsi="宋体" w:cs="宋体"/>
                <w:b/>
                <w:color w:val="ff0000"/>
              </w:rPr>
              <w:t xml:space="preserve">（如是属于专门面向中小企业预留份额的项目，该项删除）</w:t>
            </w:r>
            <w:r/>
          </w:p>
        </w:tc>
      </w:tr>
    </w:tbl>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3.质疑供应商若对项目的某一分包进行质疑，质疑函中应列明具体分包号。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9"/>
        <w:rFonts w:ascii="宋体" w:hAnsi="宋体"/>
      </w:rPr>
      <w:framePr w:wrap="around" w:vAnchor="text" w:hAnchor="margin" w:xAlign="center" w:y="1"/>
    </w:pPr>
    <w:r>
      <w:rPr>
        <w:rFonts w:ascii="宋体" w:hAnsi="宋体"/>
      </w:rPr>
      <w:fldChar w:fldCharType="begin"/>
    </w:r>
    <w:r>
      <w:rPr>
        <w:rStyle w:val="909"/>
        <w:rFonts w:ascii="宋体" w:hAnsi="宋体"/>
      </w:rPr>
      <w:instrText xml:space="preserve">PAGE  </w:instrText>
    </w:r>
    <w:r>
      <w:rPr>
        <w:rFonts w:ascii="宋体" w:hAnsi="宋体"/>
      </w:rPr>
      <w:fldChar w:fldCharType="separate"/>
    </w:r>
    <w:r>
      <w:rPr>
        <w:rStyle w:val="909"/>
        <w:rFonts w:ascii="宋体" w:hAnsi="宋体"/>
      </w:rPr>
      <w:t xml:space="preserve">35</w:t>
    </w:r>
    <w:r>
      <w:rPr>
        <w:rFonts w:ascii="宋体" w:hAnsi="宋体"/>
      </w:rPr>
      <w:fldChar w:fldCharType="end"/>
    </w:r>
    <w:r/>
  </w:p>
  <w:p>
    <w:pPr>
      <w:pStyle w:val="88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9"/>
      </w:rPr>
      <w:framePr w:wrap="around" w:vAnchor="text" w:hAnchor="margin" w:xAlign="center" w:y="1"/>
    </w:pPr>
    <w:r>
      <w:fldChar w:fldCharType="begin"/>
    </w:r>
    <w:r>
      <w:rPr>
        <w:rStyle w:val="909"/>
      </w:rPr>
      <w:instrText xml:space="preserve">PAGE  </w:instrText>
    </w:r>
    <w:r>
      <w:fldChar w:fldCharType="separate"/>
    </w:r>
    <w:r>
      <w:rPr>
        <w:rStyle w:val="909"/>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upperLetter"/>
      <w:pStyle w:val="9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4"/>
      <w:isLgl w:val="false"/>
      <w:suff w:val="nothing"/>
      <w:lvlText w:val=""/>
      <w:lvlJc w:val="left"/>
      <w:pPr>
        <w:ind w:left="0" w:firstLine="0"/>
      </w:pPr>
      <w:rPr>
        <w:rFonts w:hint="eastAsia"/>
      </w:rPr>
    </w:lvl>
    <w:lvl w:ilvl="6">
      <w:start w:val="1"/>
      <w:numFmt w:val="decimal"/>
      <w:pStyle w:val="845"/>
      <w:isLgl w:val="false"/>
      <w:suff w:val="nothing"/>
      <w:lvlText w:val=""/>
      <w:lvlJc w:val="left"/>
      <w:pPr>
        <w:ind w:left="0" w:firstLine="0"/>
      </w:pPr>
      <w:rPr>
        <w:rFonts w:hint="eastAsia"/>
      </w:rPr>
    </w:lvl>
    <w:lvl w:ilvl="7">
      <w:start w:val="1"/>
      <w:numFmt w:val="decimal"/>
      <w:pStyle w:val="846"/>
      <w:isLgl w:val="false"/>
      <w:suff w:val="nothing"/>
      <w:lvlText w:val=""/>
      <w:lvlJc w:val="left"/>
      <w:pPr>
        <w:ind w:left="0" w:firstLine="0"/>
      </w:pPr>
      <w:rPr>
        <w:rFonts w:hint="eastAsia"/>
      </w:rPr>
    </w:lvl>
    <w:lvl w:ilvl="8">
      <w:start w:val="1"/>
      <w:numFmt w:val="decimal"/>
      <w:pStyle w:val="847"/>
      <w:isLgl w:val="false"/>
      <w:suff w:val="nothing"/>
      <w:lvlText w:val=""/>
      <w:lvlJc w:val="left"/>
      <w:pPr>
        <w:ind w:left="0" w:firstLine="0"/>
      </w:pPr>
      <w:rPr>
        <w:rFonts w:hint="eastAsia"/>
      </w:rPr>
    </w:lvl>
  </w:abstractNum>
  <w:abstractNum w:abstractNumId="3">
    <w:multiLevelType w:val="hybridMultilevel"/>
    <w:lvl w:ilvl="0">
      <w:start w:val="1"/>
      <w:numFmt w:val="decimal"/>
      <w:pStyle w:val="9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2"/>
    <w:link w:val="653"/>
    <w:uiPriority w:val="9"/>
    <w:rPr>
      <w:rFonts w:ascii="Arial" w:hAnsi="Arial" w:eastAsia="Arial" w:cs="Arial"/>
      <w:sz w:val="40"/>
      <w:szCs w:val="40"/>
    </w:rPr>
  </w:style>
  <w:style w:type="character" w:styleId="15">
    <w:name w:val="Heading 2 Char"/>
    <w:basedOn w:val="662"/>
    <w:link w:val="654"/>
    <w:uiPriority w:val="9"/>
    <w:rPr>
      <w:rFonts w:ascii="Arial" w:hAnsi="Arial" w:eastAsia="Arial" w:cs="Arial"/>
      <w:sz w:val="34"/>
    </w:rPr>
  </w:style>
  <w:style w:type="character" w:styleId="17">
    <w:name w:val="Heading 3 Char"/>
    <w:basedOn w:val="662"/>
    <w:link w:val="655"/>
    <w:uiPriority w:val="9"/>
    <w:rPr>
      <w:rFonts w:ascii="Arial" w:hAnsi="Arial" w:eastAsia="Arial" w:cs="Arial"/>
      <w:sz w:val="30"/>
      <w:szCs w:val="30"/>
    </w:rPr>
  </w:style>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character" w:styleId="34">
    <w:name w:val="Title Char"/>
    <w:basedOn w:val="662"/>
    <w:link w:val="684"/>
    <w:uiPriority w:val="10"/>
    <w:rPr>
      <w:sz w:val="48"/>
      <w:szCs w:val="48"/>
    </w:rPr>
  </w:style>
  <w:style w:type="character" w:styleId="36">
    <w:name w:val="Subtitle Char"/>
    <w:basedOn w:val="662"/>
    <w:link w:val="678"/>
    <w:uiPriority w:val="11"/>
    <w:rPr>
      <w:sz w:val="24"/>
      <w:szCs w:val="24"/>
    </w:rPr>
  </w:style>
  <w:style w:type="character" w:styleId="38">
    <w:name w:val="Quote Char"/>
    <w:link w:val="703"/>
    <w:uiPriority w:val="29"/>
    <w:rPr>
      <w:i/>
    </w:rPr>
  </w:style>
  <w:style w:type="character" w:styleId="40">
    <w:name w:val="Intense Quote Char"/>
    <w:link w:val="705"/>
    <w:uiPriority w:val="30"/>
    <w:rPr>
      <w:i/>
    </w:rPr>
  </w:style>
  <w:style w:type="character" w:styleId="42">
    <w:name w:val="Header Char"/>
    <w:basedOn w:val="662"/>
    <w:link w:val="675"/>
    <w:uiPriority w:val="99"/>
  </w:style>
  <w:style w:type="character" w:styleId="46">
    <w:name w:val="Caption Char"/>
    <w:basedOn w:val="667"/>
    <w:link w:val="674"/>
    <w:uiPriority w:val="99"/>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9"/>
    <w:uiPriority w:val="99"/>
    <w:rPr>
      <w:sz w:val="18"/>
    </w:rPr>
  </w:style>
  <w:style w:type="character" w:styleId="178">
    <w:name w:val="Endnote Text Char"/>
    <w:link w:val="672"/>
    <w:uiPriority w:val="99"/>
    <w:rPr>
      <w:sz w:val="20"/>
    </w:rPr>
  </w:style>
  <w:style w:type="paragraph" w:styleId="189">
    <w:name w:val="TOC Heading"/>
    <w:uiPriority w:val="39"/>
    <w:unhideWhenUsed/>
  </w:style>
  <w:style w:type="paragraph" w:styleId="65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53">
    <w:name w:val="Heading 1"/>
    <w:basedOn w:val="652"/>
    <w:next w:val="652"/>
    <w:link w:val="690"/>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1"/>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92"/>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93"/>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4"/>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5"/>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697"/>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698"/>
    <w:uiPriority w:val="9"/>
    <w:unhideWhenUsed/>
    <w:qFormat/>
    <w:pPr>
      <w:keepLines/>
      <w:keepNext/>
      <w:spacing w:before="320" w:after="200"/>
      <w:outlineLvl w:val="8"/>
    </w:pPr>
    <w:rPr>
      <w:rFonts w:ascii="Arial" w:hAnsi="Arial" w:eastAsia="Arial" w:cs="Arial"/>
      <w:i/>
      <w:iCs/>
    </w:rPr>
  </w:style>
  <w:style w:type="character" w:styleId="662" w:default="1">
    <w:name w:val="Default Paragraph Font"/>
    <w:uiPriority w:val="1"/>
    <w:semiHidden/>
    <w:unhideWhenUsed/>
  </w:style>
  <w:style w:type="table" w:styleId="663" w:default="1">
    <w:name w:val="Normal Table"/>
    <w:uiPriority w:val="99"/>
    <w:semiHidden/>
    <w:unhideWhenUsed/>
    <w:tblPr>
      <w:tblLayout w:type="fixed"/>
      <w:tblCellMar>
        <w:left w:w="108" w:type="dxa"/>
        <w:top w:w="0" w:type="dxa"/>
        <w:right w:w="108" w:type="dxa"/>
        <w:bottom w:w="0" w:type="dxa"/>
      </w:tblCellMar>
    </w:tblPr>
  </w:style>
  <w:style w:type="paragraph" w:styleId="664">
    <w:name w:val="annotation subject"/>
    <w:basedOn w:val="665"/>
    <w:next w:val="665"/>
    <w:link w:val="952"/>
    <w:uiPriority w:val="99"/>
    <w:semiHidden/>
    <w:unhideWhenUsed/>
    <w:rPr>
      <w:b/>
      <w:bCs/>
    </w:rPr>
  </w:style>
  <w:style w:type="paragraph" w:styleId="665">
    <w:name w:val="annotation text"/>
    <w:basedOn w:val="652"/>
    <w:link w:val="951"/>
    <w:uiPriority w:val="99"/>
    <w:semiHidden/>
    <w:unhideWhenUsed/>
    <w:pPr>
      <w:jc w:val="left"/>
    </w:pPr>
  </w:style>
  <w:style w:type="paragraph" w:styleId="666">
    <w:name w:val="toc 7"/>
    <w:basedOn w:val="652"/>
    <w:next w:val="652"/>
    <w:uiPriority w:val="39"/>
    <w:unhideWhenUsed/>
    <w:pPr>
      <w:ind w:left="1701"/>
      <w:spacing w:after="57"/>
    </w:pPr>
  </w:style>
  <w:style w:type="paragraph" w:styleId="667">
    <w:name w:val="Caption"/>
    <w:basedOn w:val="652"/>
    <w:next w:val="652"/>
    <w:uiPriority w:val="35"/>
    <w:semiHidden/>
    <w:unhideWhenUsed/>
    <w:qFormat/>
    <w:pPr>
      <w:spacing w:line="276" w:lineRule="auto"/>
    </w:pPr>
    <w:rPr>
      <w:b/>
      <w:bCs/>
      <w:color w:val="4f81bd" w:themeColor="accent1"/>
      <w:sz w:val="18"/>
      <w:szCs w:val="18"/>
    </w:rPr>
  </w:style>
  <w:style w:type="paragraph" w:styleId="668">
    <w:name w:val="toc 5"/>
    <w:basedOn w:val="652"/>
    <w:next w:val="652"/>
    <w:uiPriority w:val="39"/>
    <w:unhideWhenUsed/>
    <w:pPr>
      <w:ind w:left="1134"/>
      <w:spacing w:after="57"/>
    </w:pPr>
  </w:style>
  <w:style w:type="paragraph" w:styleId="669">
    <w:name w:val="toc 3"/>
    <w:basedOn w:val="652"/>
    <w:next w:val="652"/>
    <w:uiPriority w:val="39"/>
    <w:unhideWhenUsed/>
    <w:pPr>
      <w:ind w:left="567"/>
      <w:spacing w:after="57"/>
    </w:pPr>
  </w:style>
  <w:style w:type="paragraph" w:styleId="670">
    <w:name w:val="Plain Text"/>
    <w:basedOn w:val="652"/>
    <w:link w:val="950"/>
    <w:uiPriority w:val="0"/>
    <w:rPr>
      <w:rFonts w:ascii="宋体" w:hAnsi="Courier New"/>
      <w:sz w:val="20"/>
    </w:rPr>
  </w:style>
  <w:style w:type="paragraph" w:styleId="671">
    <w:name w:val="toc 8"/>
    <w:basedOn w:val="652"/>
    <w:next w:val="652"/>
    <w:uiPriority w:val="39"/>
    <w:unhideWhenUsed/>
    <w:pPr>
      <w:ind w:left="1984"/>
      <w:spacing w:after="57"/>
    </w:pPr>
  </w:style>
  <w:style w:type="paragraph" w:styleId="672">
    <w:name w:val="endnote text"/>
    <w:basedOn w:val="652"/>
    <w:link w:val="836"/>
    <w:uiPriority w:val="99"/>
    <w:semiHidden/>
    <w:unhideWhenUsed/>
    <w:rPr>
      <w:sz w:val="20"/>
    </w:rPr>
  </w:style>
  <w:style w:type="paragraph" w:styleId="673">
    <w:name w:val="Balloon Text"/>
    <w:basedOn w:val="652"/>
    <w:link w:val="949"/>
    <w:uiPriority w:val="99"/>
    <w:semiHidden/>
    <w:unhideWhenUsed/>
    <w:rPr>
      <w:sz w:val="18"/>
      <w:szCs w:val="18"/>
    </w:rPr>
  </w:style>
  <w:style w:type="paragraph" w:styleId="674">
    <w:name w:val="Footer"/>
    <w:basedOn w:val="652"/>
    <w:link w:val="709"/>
    <w:uiPriority w:val="99"/>
    <w:unhideWhenUsed/>
    <w:pPr>
      <w:tabs>
        <w:tab w:val="center" w:pos="7143" w:leader="none"/>
        <w:tab w:val="right" w:pos="14287" w:leader="none"/>
      </w:tabs>
    </w:pPr>
  </w:style>
  <w:style w:type="paragraph" w:styleId="675">
    <w:name w:val="Header"/>
    <w:basedOn w:val="652"/>
    <w:link w:val="707"/>
    <w:uiPriority w:val="99"/>
    <w:unhideWhenUsed/>
    <w:pPr>
      <w:tabs>
        <w:tab w:val="center" w:pos="7143" w:leader="none"/>
        <w:tab w:val="right" w:pos="14287" w:leader="none"/>
      </w:tabs>
    </w:pPr>
  </w:style>
  <w:style w:type="paragraph" w:styleId="676">
    <w:name w:val="toc 1"/>
    <w:basedOn w:val="652"/>
    <w:next w:val="652"/>
    <w:uiPriority w:val="39"/>
    <w:unhideWhenUsed/>
    <w:pPr>
      <w:spacing w:after="57"/>
    </w:pPr>
  </w:style>
  <w:style w:type="paragraph" w:styleId="677">
    <w:name w:val="toc 4"/>
    <w:basedOn w:val="652"/>
    <w:next w:val="652"/>
    <w:uiPriority w:val="39"/>
    <w:unhideWhenUsed/>
    <w:pPr>
      <w:ind w:left="850"/>
      <w:spacing w:after="57"/>
    </w:pPr>
  </w:style>
  <w:style w:type="paragraph" w:styleId="678">
    <w:name w:val="Subtitle"/>
    <w:basedOn w:val="652"/>
    <w:next w:val="652"/>
    <w:link w:val="702"/>
    <w:uiPriority w:val="11"/>
    <w:qFormat/>
    <w:pPr>
      <w:spacing w:before="200" w:after="200"/>
    </w:pPr>
    <w:rPr>
      <w:sz w:val="24"/>
      <w:szCs w:val="24"/>
    </w:rPr>
  </w:style>
  <w:style w:type="paragraph" w:styleId="679">
    <w:name w:val="footnote text"/>
    <w:basedOn w:val="652"/>
    <w:link w:val="835"/>
    <w:uiPriority w:val="99"/>
    <w:semiHidden/>
    <w:unhideWhenUsed/>
    <w:pPr>
      <w:spacing w:after="40"/>
    </w:pPr>
    <w:rPr>
      <w:sz w:val="18"/>
    </w:rPr>
  </w:style>
  <w:style w:type="paragraph" w:styleId="680">
    <w:name w:val="toc 6"/>
    <w:basedOn w:val="652"/>
    <w:next w:val="652"/>
    <w:uiPriority w:val="39"/>
    <w:unhideWhenUsed/>
    <w:pPr>
      <w:ind w:left="1417"/>
      <w:spacing w:after="57"/>
    </w:pPr>
  </w:style>
  <w:style w:type="paragraph" w:styleId="681">
    <w:name w:val="table of figures"/>
    <w:basedOn w:val="652"/>
    <w:next w:val="652"/>
    <w:uiPriority w:val="99"/>
    <w:unhideWhenUsed/>
  </w:style>
  <w:style w:type="paragraph" w:styleId="682">
    <w:name w:val="toc 2"/>
    <w:basedOn w:val="652"/>
    <w:next w:val="652"/>
    <w:uiPriority w:val="39"/>
    <w:unhideWhenUsed/>
    <w:pPr>
      <w:ind w:left="283"/>
      <w:spacing w:after="57"/>
    </w:pPr>
  </w:style>
  <w:style w:type="paragraph" w:styleId="683">
    <w:name w:val="toc 9"/>
    <w:basedOn w:val="652"/>
    <w:next w:val="652"/>
    <w:uiPriority w:val="39"/>
    <w:unhideWhenUsed/>
    <w:pPr>
      <w:ind w:left="2268"/>
      <w:spacing w:after="57"/>
    </w:pPr>
  </w:style>
  <w:style w:type="paragraph" w:styleId="684">
    <w:name w:val="Title"/>
    <w:basedOn w:val="652"/>
    <w:next w:val="652"/>
    <w:link w:val="701"/>
    <w:uiPriority w:val="10"/>
    <w:qFormat/>
    <w:pPr>
      <w:contextualSpacing/>
      <w:spacing w:before="300" w:after="200"/>
    </w:pPr>
    <w:rPr>
      <w:sz w:val="48"/>
      <w:szCs w:val="48"/>
    </w:rPr>
  </w:style>
  <w:style w:type="character" w:styleId="685">
    <w:name w:val="endnote reference"/>
    <w:uiPriority w:val="99"/>
    <w:semiHidden/>
    <w:unhideWhenUsed/>
    <w:rPr>
      <w:vertAlign w:val="superscript"/>
    </w:rPr>
  </w:style>
  <w:style w:type="character" w:styleId="686">
    <w:name w:val="Hyperlink"/>
    <w:uiPriority w:val="99"/>
    <w:unhideWhenUsed/>
    <w:rPr>
      <w:color w:val="0000ff" w:themeColor="hyperlink"/>
      <w:u w:val="single"/>
    </w:rPr>
  </w:style>
  <w:style w:type="character" w:styleId="687">
    <w:name w:val="annotation reference"/>
    <w:basedOn w:val="662"/>
    <w:uiPriority w:val="99"/>
    <w:semiHidden/>
    <w:unhideWhenUsed/>
    <w:rPr>
      <w:sz w:val="21"/>
      <w:szCs w:val="21"/>
    </w:rPr>
  </w:style>
  <w:style w:type="character" w:styleId="688">
    <w:name w:val="footnote reference"/>
    <w:uiPriority w:val="99"/>
    <w:unhideWhenUsed/>
    <w:rPr>
      <w:vertAlign w:val="superscript"/>
    </w:rPr>
  </w:style>
  <w:style w:type="table" w:styleId="689">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690" w:customStyle="1">
    <w:name w:val="标题 1 字符"/>
    <w:link w:val="653"/>
    <w:uiPriority w:val="9"/>
    <w:rPr>
      <w:rFonts w:ascii="Arial" w:hAnsi="Arial" w:eastAsia="Arial" w:cs="Arial"/>
      <w:sz w:val="40"/>
      <w:szCs w:val="40"/>
    </w:rPr>
  </w:style>
  <w:style w:type="character" w:styleId="691" w:customStyle="1">
    <w:name w:val="标题 2 字符"/>
    <w:link w:val="654"/>
    <w:uiPriority w:val="9"/>
    <w:rPr>
      <w:rFonts w:ascii="Arial" w:hAnsi="Arial" w:eastAsia="Arial" w:cs="Arial"/>
      <w:sz w:val="34"/>
    </w:rPr>
  </w:style>
  <w:style w:type="character" w:styleId="692" w:customStyle="1">
    <w:name w:val="标题 3 字符"/>
    <w:link w:val="655"/>
    <w:uiPriority w:val="9"/>
    <w:qFormat/>
    <w:rPr>
      <w:rFonts w:ascii="Arial" w:hAnsi="Arial" w:eastAsia="Arial" w:cs="Arial"/>
      <w:sz w:val="30"/>
      <w:szCs w:val="30"/>
    </w:rPr>
  </w:style>
  <w:style w:type="character" w:styleId="693" w:customStyle="1">
    <w:name w:val="标题 4 字符"/>
    <w:link w:val="656"/>
    <w:uiPriority w:val="9"/>
    <w:qFormat/>
    <w:rPr>
      <w:rFonts w:ascii="Arial" w:hAnsi="Arial" w:eastAsia="Arial" w:cs="Arial"/>
      <w:b/>
      <w:bCs/>
      <w:sz w:val="26"/>
      <w:szCs w:val="26"/>
    </w:rPr>
  </w:style>
  <w:style w:type="character" w:styleId="694" w:customStyle="1">
    <w:name w:val="标题 5 字符"/>
    <w:link w:val="657"/>
    <w:uiPriority w:val="9"/>
    <w:qFormat/>
    <w:rPr>
      <w:rFonts w:ascii="Arial" w:hAnsi="Arial" w:eastAsia="Arial" w:cs="Arial"/>
      <w:b/>
      <w:bCs/>
      <w:sz w:val="24"/>
      <w:szCs w:val="24"/>
    </w:rPr>
  </w:style>
  <w:style w:type="character" w:styleId="695" w:customStyle="1">
    <w:name w:val="标题 6 字符"/>
    <w:link w:val="658"/>
    <w:uiPriority w:val="9"/>
    <w:qFormat/>
    <w:rPr>
      <w:rFonts w:ascii="Arial" w:hAnsi="Arial" w:eastAsia="Arial" w:cs="Arial"/>
      <w:b/>
      <w:bCs/>
      <w:sz w:val="22"/>
      <w:szCs w:val="22"/>
    </w:rPr>
  </w:style>
  <w:style w:type="character" w:styleId="696" w:customStyle="1">
    <w:name w:val="标题 7 字符"/>
    <w:link w:val="659"/>
    <w:uiPriority w:val="9"/>
    <w:qFormat/>
    <w:rPr>
      <w:rFonts w:ascii="Arial" w:hAnsi="Arial" w:eastAsia="Arial" w:cs="Arial"/>
      <w:b/>
      <w:bCs/>
      <w:i/>
      <w:iCs/>
      <w:sz w:val="22"/>
      <w:szCs w:val="22"/>
    </w:rPr>
  </w:style>
  <w:style w:type="character" w:styleId="697" w:customStyle="1">
    <w:name w:val="标题 8 字符"/>
    <w:link w:val="660"/>
    <w:uiPriority w:val="9"/>
    <w:qFormat/>
    <w:rPr>
      <w:rFonts w:ascii="Arial" w:hAnsi="Arial" w:eastAsia="Arial" w:cs="Arial"/>
      <w:i/>
      <w:iCs/>
      <w:sz w:val="22"/>
      <w:szCs w:val="22"/>
    </w:rPr>
  </w:style>
  <w:style w:type="character" w:styleId="698" w:customStyle="1">
    <w:name w:val="标题 9 字符"/>
    <w:link w:val="661"/>
    <w:uiPriority w:val="9"/>
    <w:qFormat/>
    <w:rPr>
      <w:rFonts w:ascii="Arial" w:hAnsi="Arial" w:eastAsia="Arial" w:cs="Arial"/>
      <w:i/>
      <w:iCs/>
      <w:sz w:val="21"/>
      <w:szCs w:val="21"/>
    </w:rPr>
  </w:style>
  <w:style w:type="paragraph" w:styleId="699">
    <w:name w:val="List Paragraph"/>
    <w:basedOn w:val="652"/>
    <w:uiPriority w:val="34"/>
    <w:qFormat/>
    <w:pPr>
      <w:contextualSpacing/>
      <w:ind w:left="720"/>
    </w:pPr>
  </w:style>
  <w:style w:type="paragraph" w:styleId="700">
    <w:name w:val="No Spacing"/>
    <w:uiPriority w:val="1"/>
    <w:qFormat/>
    <w:rPr>
      <w:rFonts w:ascii="Calibri" w:hAnsi="Calibri" w:eastAsia="宋体" w:cs="Times New Roman"/>
      <w:lang w:val="en-US" w:eastAsia="zh-CN" w:bidi="ar-SA"/>
    </w:rPr>
  </w:style>
  <w:style w:type="character" w:styleId="701" w:customStyle="1">
    <w:name w:val="标题 字符"/>
    <w:link w:val="684"/>
    <w:uiPriority w:val="10"/>
    <w:qFormat/>
    <w:rPr>
      <w:sz w:val="48"/>
      <w:szCs w:val="48"/>
    </w:rPr>
  </w:style>
  <w:style w:type="character" w:styleId="702" w:customStyle="1">
    <w:name w:val="副标题 字符"/>
    <w:link w:val="678"/>
    <w:uiPriority w:val="11"/>
    <w:qFormat/>
    <w:rPr>
      <w:sz w:val="24"/>
      <w:szCs w:val="24"/>
    </w:rPr>
  </w:style>
  <w:style w:type="paragraph" w:styleId="703">
    <w:name w:val="Quote"/>
    <w:basedOn w:val="652"/>
    <w:next w:val="652"/>
    <w:link w:val="704"/>
    <w:uiPriority w:val="29"/>
    <w:qFormat/>
    <w:pPr>
      <w:ind w:left="720" w:right="720"/>
    </w:pPr>
    <w:rPr>
      <w:i/>
    </w:rPr>
  </w:style>
  <w:style w:type="character" w:styleId="704" w:customStyle="1">
    <w:name w:val="引用 字符"/>
    <w:link w:val="703"/>
    <w:uiPriority w:val="29"/>
    <w:qFormat/>
    <w:rPr>
      <w:i/>
    </w:rPr>
  </w:style>
  <w:style w:type="paragraph" w:styleId="705">
    <w:name w:val="Intense Quote"/>
    <w:basedOn w:val="652"/>
    <w:next w:val="652"/>
    <w:link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明显引用 字符"/>
    <w:link w:val="705"/>
    <w:uiPriority w:val="30"/>
    <w:qFormat/>
    <w:rPr>
      <w:i/>
    </w:rPr>
  </w:style>
  <w:style w:type="character" w:styleId="707" w:customStyle="1">
    <w:name w:val="页眉 字符"/>
    <w:link w:val="675"/>
    <w:uiPriority w:val="99"/>
    <w:qFormat/>
  </w:style>
  <w:style w:type="character" w:styleId="708" w:customStyle="1">
    <w:name w:val="Footer Char"/>
    <w:uiPriority w:val="99"/>
    <w:qFormat/>
  </w:style>
  <w:style w:type="character" w:styleId="709" w:customStyle="1">
    <w:name w:val="页脚 字符"/>
    <w:link w:val="674"/>
    <w:uiPriority w:val="99"/>
  </w:style>
  <w:style w:type="table" w:styleId="7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5"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6"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7"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8"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9"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2"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3"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4"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5"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6"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9"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0"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1"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2"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3" w:customStyle="1">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4"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5"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6"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7"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8"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9"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0" w:customStyle="1">
    <w:name w:val="清单表 6 彩色1"/>
    <w:uiPriority w:val="99"/>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1" w:customStyle="1">
    <w:name w:val="List Table 6 Colorful - Accent 1"/>
    <w:uiPriority w:val="99"/>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02" w:customStyle="1">
    <w:name w:val="List Table 6 Colorful - Accent 2"/>
    <w:uiPriority w:val="99"/>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03" w:customStyle="1">
    <w:name w:val="List Table 6 Colorful - Accent 3"/>
    <w:uiPriority w:val="99"/>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04" w:customStyle="1">
    <w:name w:val="List Table 6 Colorful - Accent 4"/>
    <w:uiPriority w:val="99"/>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05" w:customStyle="1">
    <w:name w:val="List Table 6 Colorful - Accent 5"/>
    <w:uiPriority w:val="99"/>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06" w:customStyle="1">
    <w:name w:val="List Table 6 Colorful - Accent 6"/>
    <w:uiPriority w:val="99"/>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07" w:customStyle="1">
    <w:name w:val="清单表 7 彩色1"/>
    <w:uiPriority w:val="99"/>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uiPriority w:val="99"/>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uiPriority w:val="99"/>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uiPriority w:val="99"/>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uiPriority w:val="99"/>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uiPriority w:val="99"/>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uiPriority w:val="99"/>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4" w:customStyle="1">
    <w:name w:val="Lined - Accent"/>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Lined - Accent 2"/>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Lined - Accent 3"/>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Lined - Accent 4"/>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Lined - Accent 5"/>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Lined - Accent 6"/>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0"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1"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2"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3"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4"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5" w:customStyle="1">
    <w:name w:val="脚注文本 字符"/>
    <w:link w:val="679"/>
    <w:uiPriority w:val="99"/>
    <w:rPr>
      <w:sz w:val="18"/>
    </w:rPr>
  </w:style>
  <w:style w:type="character" w:styleId="836" w:customStyle="1">
    <w:name w:val="尾注文本 字符"/>
    <w:link w:val="672"/>
    <w:uiPriority w:val="99"/>
    <w:rPr>
      <w:sz w:val="20"/>
    </w:rPr>
  </w:style>
  <w:style w:type="paragraph" w:styleId="837" w:customStyle="1">
    <w:name w:val="TOC 标题1"/>
    <w:uiPriority w:val="39"/>
    <w:unhideWhenUsed/>
    <w:rPr>
      <w:rFonts w:ascii="Calibri" w:hAnsi="Calibri" w:eastAsia="宋体" w:cs="Times New Roman"/>
      <w:lang w:val="en-US" w:eastAsia="zh-CN" w:bidi="ar-SA"/>
    </w:rPr>
  </w:style>
  <w:style w:type="paragraph" w:styleId="838" w:customStyle="1">
    <w:name w:val="标题 11"/>
    <w:basedOn w:val="652"/>
    <w:next w:val="652"/>
    <w:link w:val="850"/>
    <w:uiPriority w:val="0"/>
    <w:qFormat/>
    <w:pPr>
      <w:jc w:val="center"/>
      <w:keepNext/>
      <w:outlineLvl w:val="0"/>
    </w:pPr>
    <w:rPr>
      <w:rFonts w:ascii="楷体_GB2312" w:eastAsia="楷体_GB2312"/>
      <w:sz w:val="28"/>
      <w:szCs w:val="28"/>
    </w:rPr>
  </w:style>
  <w:style w:type="paragraph" w:styleId="839" w:customStyle="1">
    <w:name w:val="标题 21"/>
    <w:basedOn w:val="652"/>
    <w:next w:val="840"/>
    <w:link w:val="8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0" w:customStyle="1">
    <w:name w:val="正文缩进1"/>
    <w:basedOn w:val="652"/>
    <w:link w:val="859"/>
    <w:uiPriority w:val="99"/>
    <w:pPr>
      <w:ind w:firstLine="420"/>
    </w:pPr>
  </w:style>
  <w:style w:type="paragraph" w:styleId="841" w:customStyle="1">
    <w:name w:val="标题 31"/>
    <w:basedOn w:val="652"/>
    <w:next w:val="840"/>
    <w:link w:val="852"/>
    <w:uiPriority w:val="0"/>
    <w:qFormat/>
    <w:pPr>
      <w:keepLines/>
      <w:keepNext/>
      <w:spacing w:before="260" w:after="260" w:line="416" w:lineRule="auto"/>
      <w:outlineLvl w:val="2"/>
    </w:pPr>
    <w:rPr>
      <w:b/>
      <w:bCs/>
      <w:sz w:val="32"/>
      <w:szCs w:val="32"/>
    </w:rPr>
  </w:style>
  <w:style w:type="paragraph" w:styleId="842" w:customStyle="1">
    <w:name w:val="标题 41"/>
    <w:basedOn w:val="652"/>
    <w:next w:val="840"/>
    <w:link w:val="853"/>
    <w:uiPriority w:val="0"/>
    <w:qFormat/>
    <w:pPr>
      <w:keepLines/>
      <w:keepNext/>
      <w:spacing w:before="280" w:after="290" w:line="376" w:lineRule="auto"/>
      <w:outlineLvl w:val="3"/>
    </w:pPr>
    <w:rPr>
      <w:rFonts w:ascii="Arial" w:hAnsi="Arial" w:eastAsia="黑体" w:cs="Arial"/>
      <w:b/>
      <w:bCs/>
      <w:sz w:val="28"/>
      <w:szCs w:val="28"/>
    </w:rPr>
  </w:style>
  <w:style w:type="paragraph" w:styleId="843" w:customStyle="1">
    <w:name w:val="标题 51"/>
    <w:basedOn w:val="652"/>
    <w:next w:val="840"/>
    <w:link w:val="854"/>
    <w:uiPriority w:val="0"/>
    <w:qFormat/>
    <w:pPr>
      <w:keepNext/>
      <w:outlineLvl w:val="4"/>
    </w:pPr>
    <w:rPr>
      <w:rFonts w:ascii="宋体"/>
      <w:color w:val="000000"/>
      <w:sz w:val="28"/>
      <w:szCs w:val="28"/>
    </w:rPr>
  </w:style>
  <w:style w:type="paragraph" w:styleId="844" w:customStyle="1">
    <w:name w:val="标题 61"/>
    <w:basedOn w:val="652"/>
    <w:next w:val="652"/>
    <w:link w:val="85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5" w:customStyle="1">
    <w:name w:val="标题 71"/>
    <w:basedOn w:val="652"/>
    <w:next w:val="652"/>
    <w:link w:val="856"/>
    <w:uiPriority w:val="0"/>
    <w:qFormat/>
    <w:pPr>
      <w:numPr>
        <w:ilvl w:val="6"/>
        <w:numId w:val="1"/>
      </w:numPr>
      <w:keepLines/>
      <w:keepNext/>
      <w:spacing w:before="240" w:after="64" w:line="320" w:lineRule="auto"/>
      <w:outlineLvl w:val="6"/>
    </w:pPr>
    <w:rPr>
      <w:b/>
      <w:bCs/>
      <w:sz w:val="24"/>
      <w:szCs w:val="24"/>
    </w:rPr>
  </w:style>
  <w:style w:type="paragraph" w:styleId="846" w:customStyle="1">
    <w:name w:val="标题 81"/>
    <w:basedOn w:val="652"/>
    <w:next w:val="652"/>
    <w:link w:val="85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7" w:customStyle="1">
    <w:name w:val="标题 91"/>
    <w:basedOn w:val="652"/>
    <w:next w:val="652"/>
    <w:link w:val="858"/>
    <w:uiPriority w:val="0"/>
    <w:qFormat/>
    <w:pPr>
      <w:numPr>
        <w:ilvl w:val="8"/>
        <w:numId w:val="1"/>
      </w:numPr>
      <w:keepLines/>
      <w:keepNext/>
      <w:spacing w:before="240" w:after="64" w:line="320" w:lineRule="auto"/>
      <w:outlineLvl w:val="8"/>
    </w:pPr>
    <w:rPr>
      <w:rFonts w:ascii="Arial" w:hAnsi="Arial" w:eastAsia="黑体"/>
    </w:rPr>
  </w:style>
  <w:style w:type="character" w:styleId="848" w:customStyle="1">
    <w:name w:val="默认段落字体1"/>
    <w:uiPriority w:val="1"/>
    <w:semiHidden/>
    <w:unhideWhenUsed/>
  </w:style>
  <w:style w:type="table" w:styleId="849" w:customStyle="1">
    <w:name w:val="普通表格1"/>
    <w:uiPriority w:val="99"/>
    <w:semiHidden/>
    <w:unhideWhenUsed/>
    <w:tblPr>
      <w:tblLayout w:type="fixed"/>
      <w:tblCellMar>
        <w:left w:w="0" w:type="dxa"/>
        <w:top w:w="0" w:type="dxa"/>
        <w:right w:w="0" w:type="dxa"/>
        <w:bottom w:w="0" w:type="dxa"/>
      </w:tblCellMar>
    </w:tblPr>
  </w:style>
  <w:style w:type="character" w:styleId="850" w:customStyle="1">
    <w:name w:val="标题 1 Char"/>
    <w:link w:val="838"/>
    <w:uiPriority w:val="0"/>
    <w:rPr>
      <w:rFonts w:ascii="楷体_GB2312" w:hAnsi="Times New Roman" w:eastAsia="楷体_GB2312" w:cs="Times New Roman"/>
      <w:sz w:val="28"/>
      <w:szCs w:val="28"/>
    </w:rPr>
  </w:style>
  <w:style w:type="character" w:styleId="851" w:customStyle="1">
    <w:name w:val="标题 2 Char"/>
    <w:link w:val="839"/>
    <w:uiPriority w:val="0"/>
    <w:rPr>
      <w:rFonts w:ascii="Arial" w:hAnsi="Arial" w:eastAsia="幼圆" w:cs="Arial"/>
      <w:b/>
      <w:bCs/>
      <w:sz w:val="44"/>
      <w:szCs w:val="44"/>
    </w:rPr>
  </w:style>
  <w:style w:type="character" w:styleId="852" w:customStyle="1">
    <w:name w:val="标题 3 Char"/>
    <w:link w:val="841"/>
    <w:uiPriority w:val="0"/>
    <w:rPr>
      <w:rFonts w:ascii="Times New Roman" w:hAnsi="Times New Roman" w:eastAsia="宋体" w:cs="Times New Roman"/>
      <w:b/>
      <w:bCs/>
      <w:sz w:val="32"/>
      <w:szCs w:val="32"/>
    </w:rPr>
  </w:style>
  <w:style w:type="character" w:styleId="853" w:customStyle="1">
    <w:name w:val="标题 4 Char"/>
    <w:link w:val="842"/>
    <w:uiPriority w:val="0"/>
    <w:rPr>
      <w:rFonts w:ascii="Arial" w:hAnsi="Arial" w:eastAsia="黑体" w:cs="Arial"/>
      <w:b/>
      <w:bCs/>
      <w:sz w:val="28"/>
      <w:szCs w:val="28"/>
    </w:rPr>
  </w:style>
  <w:style w:type="character" w:styleId="854" w:customStyle="1">
    <w:name w:val="标题 5 Char"/>
    <w:link w:val="843"/>
    <w:uiPriority w:val="0"/>
    <w:rPr>
      <w:rFonts w:ascii="宋体" w:hAnsi="Times New Roman" w:eastAsia="宋体" w:cs="Times New Roman"/>
      <w:color w:val="000000"/>
      <w:sz w:val="28"/>
      <w:szCs w:val="28"/>
    </w:rPr>
  </w:style>
  <w:style w:type="character" w:styleId="855" w:customStyle="1">
    <w:name w:val="标题 6 Char"/>
    <w:link w:val="844"/>
    <w:uiPriority w:val="0"/>
    <w:rPr>
      <w:rFonts w:ascii="Arial" w:hAnsi="Arial" w:eastAsia="黑体" w:cs="Times New Roman"/>
      <w:b/>
      <w:bCs/>
      <w:sz w:val="24"/>
      <w:szCs w:val="24"/>
    </w:rPr>
  </w:style>
  <w:style w:type="character" w:styleId="856" w:customStyle="1">
    <w:name w:val="标题 7 Char"/>
    <w:link w:val="845"/>
    <w:uiPriority w:val="0"/>
    <w:rPr>
      <w:rFonts w:ascii="Times New Roman" w:hAnsi="Times New Roman" w:eastAsia="宋体" w:cs="Times New Roman"/>
      <w:b/>
      <w:bCs/>
      <w:sz w:val="24"/>
      <w:szCs w:val="24"/>
    </w:rPr>
  </w:style>
  <w:style w:type="character" w:styleId="857" w:customStyle="1">
    <w:name w:val="标题 8 Char"/>
    <w:link w:val="846"/>
    <w:uiPriority w:val="0"/>
    <w:rPr>
      <w:rFonts w:ascii="Arial" w:hAnsi="Arial" w:eastAsia="黑体" w:cs="Times New Roman"/>
      <w:sz w:val="24"/>
      <w:szCs w:val="24"/>
    </w:rPr>
  </w:style>
  <w:style w:type="character" w:styleId="858" w:customStyle="1">
    <w:name w:val="标题 9 Char"/>
    <w:link w:val="847"/>
    <w:uiPriority w:val="0"/>
    <w:rPr>
      <w:rFonts w:ascii="Arial" w:hAnsi="Arial" w:eastAsia="黑体" w:cs="Times New Roman"/>
      <w:szCs w:val="21"/>
    </w:rPr>
  </w:style>
  <w:style w:type="character" w:styleId="859" w:customStyle="1">
    <w:name w:val="正文缩进 Char"/>
    <w:link w:val="840"/>
    <w:uiPriority w:val="0"/>
    <w:qFormat/>
    <w:rPr>
      <w:rFonts w:ascii="Times New Roman" w:hAnsi="Times New Roman" w:eastAsia="宋体" w:cs="Times New Roman"/>
      <w:szCs w:val="21"/>
    </w:rPr>
  </w:style>
  <w:style w:type="paragraph" w:styleId="860" w:customStyle="1">
    <w:name w:val="列表 31"/>
    <w:basedOn w:val="652"/>
    <w:uiPriority w:val="0"/>
    <w:pPr>
      <w:ind w:left="100" w:hanging="200"/>
    </w:pPr>
  </w:style>
  <w:style w:type="paragraph" w:styleId="861" w:customStyle="1">
    <w:name w:val="目录 71"/>
    <w:basedOn w:val="652"/>
    <w:next w:val="652"/>
    <w:uiPriority w:val="0"/>
    <w:semiHidden/>
    <w:pPr>
      <w:ind w:left="1260"/>
      <w:jc w:val="left"/>
    </w:pPr>
  </w:style>
  <w:style w:type="paragraph" w:styleId="862" w:customStyle="1">
    <w:name w:val="文档结构图1"/>
    <w:basedOn w:val="652"/>
    <w:link w:val="863"/>
    <w:uiPriority w:val="0"/>
    <w:semiHidden/>
    <w:pPr>
      <w:shd w:val="clear" w:color="auto" w:fill="000080"/>
    </w:pPr>
  </w:style>
  <w:style w:type="character" w:styleId="863" w:customStyle="1">
    <w:name w:val="文档结构图 Char"/>
    <w:link w:val="862"/>
    <w:uiPriority w:val="0"/>
    <w:semiHidden/>
    <w:rPr>
      <w:rFonts w:ascii="Times New Roman" w:hAnsi="Times New Roman" w:eastAsia="宋体" w:cs="Times New Roman"/>
      <w:szCs w:val="21"/>
      <w:shd w:val="clear" w:color="auto" w:fill="000080"/>
    </w:rPr>
  </w:style>
  <w:style w:type="paragraph" w:styleId="864" w:customStyle="1">
    <w:name w:val="批注文字1"/>
    <w:basedOn w:val="652"/>
    <w:link w:val="865"/>
    <w:uiPriority w:val="0"/>
    <w:semiHidden/>
    <w:pPr>
      <w:jc w:val="left"/>
    </w:pPr>
  </w:style>
  <w:style w:type="character" w:styleId="865" w:customStyle="1">
    <w:name w:val="批注文字 Char"/>
    <w:link w:val="864"/>
    <w:uiPriority w:val="0"/>
    <w:semiHidden/>
    <w:rPr>
      <w:rFonts w:ascii="Times New Roman" w:hAnsi="Times New Roman" w:eastAsia="宋体" w:cs="Times New Roman"/>
      <w:szCs w:val="21"/>
    </w:rPr>
  </w:style>
  <w:style w:type="paragraph" w:styleId="866" w:customStyle="1">
    <w:name w:val="正文文本 31"/>
    <w:basedOn w:val="652"/>
    <w:link w:val="867"/>
    <w:uiPriority w:val="0"/>
    <w:rPr>
      <w:rFonts w:ascii="仿宋_GB2312" w:hAnsi="Arial" w:eastAsia="仿宋_GB2312"/>
      <w:sz w:val="32"/>
      <w:szCs w:val="32"/>
    </w:rPr>
  </w:style>
  <w:style w:type="character" w:styleId="867" w:customStyle="1">
    <w:name w:val="正文文本 3 Char"/>
    <w:link w:val="866"/>
    <w:uiPriority w:val="0"/>
    <w:rPr>
      <w:rFonts w:ascii="仿宋_GB2312" w:hAnsi="Arial" w:eastAsia="仿宋_GB2312" w:cs="Times New Roman"/>
      <w:sz w:val="32"/>
      <w:szCs w:val="32"/>
    </w:rPr>
  </w:style>
  <w:style w:type="paragraph" w:styleId="868" w:customStyle="1">
    <w:name w:val="正文文本1"/>
    <w:basedOn w:val="652"/>
    <w:link w:val="869"/>
    <w:uiPriority w:val="0"/>
    <w:rPr>
      <w:rFonts w:ascii="楷体_GB2312" w:hAnsi="Arial" w:eastAsia="楷体_GB2312"/>
      <w:sz w:val="28"/>
      <w:szCs w:val="28"/>
    </w:rPr>
  </w:style>
  <w:style w:type="character" w:styleId="869" w:customStyle="1">
    <w:name w:val="正文文本 Char"/>
    <w:link w:val="868"/>
    <w:uiPriority w:val="0"/>
    <w:rPr>
      <w:rFonts w:ascii="楷体_GB2312" w:hAnsi="Arial" w:eastAsia="楷体_GB2312" w:cs="Times New Roman"/>
      <w:sz w:val="28"/>
      <w:szCs w:val="28"/>
    </w:rPr>
  </w:style>
  <w:style w:type="paragraph" w:styleId="870" w:customStyle="1">
    <w:name w:val="正文文本缩进1"/>
    <w:basedOn w:val="652"/>
    <w:link w:val="871"/>
    <w:uiPriority w:val="0"/>
    <w:pPr>
      <w:ind w:firstLine="645"/>
    </w:pPr>
    <w:rPr>
      <w:rFonts w:ascii="楷体_GB2312" w:eastAsia="楷体_GB2312"/>
      <w:sz w:val="32"/>
      <w:szCs w:val="32"/>
    </w:rPr>
  </w:style>
  <w:style w:type="character" w:styleId="871" w:customStyle="1">
    <w:name w:val="正文文本缩进 Char"/>
    <w:link w:val="870"/>
    <w:uiPriority w:val="0"/>
    <w:rPr>
      <w:rFonts w:ascii="楷体_GB2312" w:hAnsi="Times New Roman" w:eastAsia="楷体_GB2312" w:cs="Times New Roman"/>
      <w:sz w:val="32"/>
      <w:szCs w:val="32"/>
    </w:rPr>
  </w:style>
  <w:style w:type="paragraph" w:styleId="872" w:customStyle="1">
    <w:name w:val="列表 21"/>
    <w:basedOn w:val="652"/>
    <w:uiPriority w:val="0"/>
    <w:pPr>
      <w:ind w:left="100" w:hanging="200"/>
    </w:pPr>
  </w:style>
  <w:style w:type="paragraph" w:styleId="873" w:customStyle="1">
    <w:name w:val="目录 51"/>
    <w:basedOn w:val="652"/>
    <w:next w:val="652"/>
    <w:uiPriority w:val="0"/>
    <w:semiHidden/>
    <w:pPr>
      <w:ind w:left="840"/>
      <w:jc w:val="left"/>
    </w:pPr>
  </w:style>
  <w:style w:type="paragraph" w:styleId="874" w:customStyle="1">
    <w:name w:val="目录 31"/>
    <w:basedOn w:val="652"/>
    <w:next w:val="652"/>
    <w:uiPriority w:val="0"/>
    <w:semiHidden/>
    <w:pPr>
      <w:ind w:left="420"/>
      <w:jc w:val="left"/>
    </w:pPr>
    <w:rPr>
      <w:i/>
      <w:iCs/>
      <w:szCs w:val="24"/>
    </w:rPr>
  </w:style>
  <w:style w:type="paragraph" w:styleId="875" w:customStyle="1">
    <w:name w:val="纯文本1"/>
    <w:basedOn w:val="652"/>
    <w:link w:val="876"/>
    <w:uiPriority w:val="0"/>
    <w:rPr>
      <w:rFonts w:ascii="宋体" w:hAnsi="Courier New" w:cs="Courier New"/>
    </w:rPr>
  </w:style>
  <w:style w:type="character" w:styleId="876" w:customStyle="1">
    <w:name w:val="纯文本 Char"/>
    <w:link w:val="875"/>
    <w:uiPriority w:val="0"/>
    <w:rPr>
      <w:rFonts w:ascii="宋体" w:hAnsi="Courier New" w:eastAsia="宋体" w:cs="Courier New"/>
      <w:szCs w:val="21"/>
    </w:rPr>
  </w:style>
  <w:style w:type="paragraph" w:styleId="877" w:customStyle="1">
    <w:name w:val="目录 81"/>
    <w:basedOn w:val="652"/>
    <w:next w:val="652"/>
    <w:uiPriority w:val="0"/>
    <w:semiHidden/>
    <w:pPr>
      <w:ind w:left="1470"/>
      <w:jc w:val="left"/>
    </w:pPr>
  </w:style>
  <w:style w:type="paragraph" w:styleId="878" w:customStyle="1">
    <w:name w:val="日期1"/>
    <w:basedOn w:val="652"/>
    <w:next w:val="652"/>
    <w:link w:val="879"/>
    <w:uiPriority w:val="0"/>
    <w:rPr>
      <w:sz w:val="24"/>
      <w:szCs w:val="24"/>
    </w:rPr>
  </w:style>
  <w:style w:type="character" w:styleId="879" w:customStyle="1">
    <w:name w:val="日期 Char"/>
    <w:link w:val="878"/>
    <w:uiPriority w:val="0"/>
    <w:rPr>
      <w:rFonts w:ascii="Times New Roman" w:hAnsi="Times New Roman" w:eastAsia="宋体" w:cs="Times New Roman"/>
      <w:sz w:val="24"/>
      <w:szCs w:val="24"/>
    </w:rPr>
  </w:style>
  <w:style w:type="paragraph" w:styleId="880" w:customStyle="1">
    <w:name w:val="正文文本缩进 21"/>
    <w:basedOn w:val="652"/>
    <w:link w:val="881"/>
    <w:uiPriority w:val="0"/>
    <w:pPr>
      <w:ind w:left="630" w:firstLine="645"/>
    </w:pPr>
    <w:rPr>
      <w:rFonts w:ascii="Arial" w:hAnsi="Arial" w:eastAsia="仿宋_GB2312" w:cs="Arial"/>
      <w:sz w:val="32"/>
      <w:szCs w:val="32"/>
    </w:rPr>
  </w:style>
  <w:style w:type="character" w:styleId="881" w:customStyle="1">
    <w:name w:val="正文文本缩进 2 Char"/>
    <w:link w:val="880"/>
    <w:uiPriority w:val="0"/>
    <w:rPr>
      <w:rFonts w:ascii="Arial" w:hAnsi="Arial" w:eastAsia="仿宋_GB2312" w:cs="Arial"/>
      <w:sz w:val="32"/>
      <w:szCs w:val="32"/>
    </w:rPr>
  </w:style>
  <w:style w:type="paragraph" w:styleId="882" w:customStyle="1">
    <w:name w:val="批注框文本1"/>
    <w:basedOn w:val="652"/>
    <w:link w:val="883"/>
    <w:uiPriority w:val="0"/>
    <w:semiHidden/>
    <w:rPr>
      <w:sz w:val="18"/>
      <w:szCs w:val="18"/>
    </w:rPr>
  </w:style>
  <w:style w:type="character" w:styleId="883" w:customStyle="1">
    <w:name w:val="批注框文本 Char"/>
    <w:link w:val="882"/>
    <w:uiPriority w:val="0"/>
    <w:semiHidden/>
    <w:rPr>
      <w:rFonts w:ascii="Times New Roman" w:hAnsi="Times New Roman" w:eastAsia="宋体" w:cs="Times New Roman"/>
      <w:sz w:val="18"/>
      <w:szCs w:val="18"/>
    </w:rPr>
  </w:style>
  <w:style w:type="paragraph" w:styleId="884" w:customStyle="1">
    <w:name w:val="页脚1"/>
    <w:basedOn w:val="652"/>
    <w:link w:val="885"/>
    <w:uiPriority w:val="0"/>
    <w:pPr>
      <w:jc w:val="left"/>
      <w:tabs>
        <w:tab w:val="center" w:pos="4153" w:leader="none"/>
        <w:tab w:val="right" w:pos="8306" w:leader="none"/>
      </w:tabs>
    </w:pPr>
    <w:rPr>
      <w:sz w:val="18"/>
      <w:szCs w:val="18"/>
    </w:rPr>
  </w:style>
  <w:style w:type="character" w:styleId="885" w:customStyle="1">
    <w:name w:val="页脚 Char"/>
    <w:link w:val="884"/>
    <w:uiPriority w:val="0"/>
    <w:rPr>
      <w:rFonts w:ascii="Times New Roman" w:hAnsi="Times New Roman" w:eastAsia="宋体" w:cs="Times New Roman"/>
      <w:sz w:val="18"/>
      <w:szCs w:val="18"/>
    </w:rPr>
  </w:style>
  <w:style w:type="paragraph" w:styleId="886" w:customStyle="1">
    <w:name w:val="页眉1"/>
    <w:basedOn w:val="652"/>
    <w:link w:val="887"/>
    <w:uiPriority w:val="0"/>
    <w:pPr>
      <w:jc w:val="center"/>
      <w:tabs>
        <w:tab w:val="center" w:pos="4153" w:leader="none"/>
        <w:tab w:val="right" w:pos="8306" w:leader="none"/>
      </w:tabs>
      <w:pBdr>
        <w:bottom w:val="single" w:color="000000" w:sz="6" w:space="1"/>
      </w:pBdr>
    </w:pPr>
    <w:rPr>
      <w:sz w:val="18"/>
      <w:szCs w:val="18"/>
    </w:rPr>
  </w:style>
  <w:style w:type="character" w:styleId="887" w:customStyle="1">
    <w:name w:val="页眉 Char"/>
    <w:link w:val="886"/>
    <w:uiPriority w:val="0"/>
    <w:rPr>
      <w:rFonts w:ascii="Times New Roman" w:hAnsi="Times New Roman" w:eastAsia="宋体" w:cs="Times New Roman"/>
      <w:sz w:val="18"/>
      <w:szCs w:val="18"/>
    </w:rPr>
  </w:style>
  <w:style w:type="paragraph" w:styleId="888" w:customStyle="1">
    <w:name w:val="目录 11"/>
    <w:basedOn w:val="652"/>
    <w:next w:val="652"/>
    <w:uiPriority w:val="0"/>
    <w:semiHidden/>
    <w:pPr>
      <w:jc w:val="left"/>
      <w:spacing w:before="120" w:after="120" w:line="400" w:lineRule="exact"/>
      <w:tabs>
        <w:tab w:val="right" w:pos="8720" w:leader="dot"/>
      </w:tabs>
    </w:pPr>
    <w:rPr>
      <w:rFonts w:ascii="宋体" w:hAnsi="宋体"/>
      <w:caps/>
      <w:sz w:val="24"/>
      <w:szCs w:val="24"/>
    </w:rPr>
  </w:style>
  <w:style w:type="paragraph" w:styleId="889" w:customStyle="1">
    <w:name w:val="目录 41"/>
    <w:basedOn w:val="652"/>
    <w:next w:val="652"/>
    <w:uiPriority w:val="0"/>
    <w:semiHidden/>
    <w:pPr>
      <w:ind w:left="630"/>
      <w:jc w:val="left"/>
    </w:pPr>
  </w:style>
  <w:style w:type="paragraph" w:styleId="890" w:customStyle="1">
    <w:name w:val="列表1"/>
    <w:basedOn w:val="652"/>
    <w:uiPriority w:val="0"/>
    <w:pPr>
      <w:ind w:left="200" w:hanging="200"/>
    </w:pPr>
  </w:style>
  <w:style w:type="paragraph" w:styleId="891" w:customStyle="1">
    <w:name w:val="目录 61"/>
    <w:basedOn w:val="652"/>
    <w:next w:val="652"/>
    <w:uiPriority w:val="0"/>
    <w:semiHidden/>
    <w:pPr>
      <w:ind w:left="1050"/>
      <w:jc w:val="left"/>
    </w:pPr>
  </w:style>
  <w:style w:type="paragraph" w:styleId="892" w:customStyle="1">
    <w:name w:val="正文文本缩进 31"/>
    <w:basedOn w:val="652"/>
    <w:link w:val="893"/>
    <w:uiPriority w:val="0"/>
    <w:pPr>
      <w:ind w:left="645" w:firstLine="645"/>
    </w:pPr>
    <w:rPr>
      <w:rFonts w:ascii="Arial" w:hAnsi="Arial" w:eastAsia="仿宋_GB2312" w:cs="Arial"/>
      <w:color w:val="ffff00"/>
      <w:sz w:val="32"/>
      <w:szCs w:val="32"/>
    </w:rPr>
  </w:style>
  <w:style w:type="character" w:styleId="893" w:customStyle="1">
    <w:name w:val="正文文本缩进 3 Char"/>
    <w:link w:val="892"/>
    <w:uiPriority w:val="0"/>
    <w:rPr>
      <w:rFonts w:ascii="Arial" w:hAnsi="Arial" w:eastAsia="仿宋_GB2312" w:cs="Arial"/>
      <w:color w:val="ffff00"/>
      <w:sz w:val="32"/>
      <w:szCs w:val="32"/>
    </w:rPr>
  </w:style>
  <w:style w:type="paragraph" w:styleId="894" w:customStyle="1">
    <w:name w:val="图表目录1"/>
    <w:basedOn w:val="652"/>
    <w:next w:val="652"/>
    <w:uiPriority w:val="0"/>
    <w:semiHidden/>
    <w:pPr>
      <w:ind w:left="840" w:hanging="420"/>
    </w:pPr>
  </w:style>
  <w:style w:type="paragraph" w:styleId="895" w:customStyle="1">
    <w:name w:val="目录 21"/>
    <w:basedOn w:val="652"/>
    <w:next w:val="652"/>
    <w:uiPriority w:val="0"/>
    <w:semiHidden/>
    <w:pPr>
      <w:ind w:left="210"/>
      <w:jc w:val="left"/>
    </w:pPr>
    <w:rPr>
      <w:smallCaps/>
      <w:szCs w:val="24"/>
    </w:rPr>
  </w:style>
  <w:style w:type="paragraph" w:styleId="896" w:customStyle="1">
    <w:name w:val="目录 91"/>
    <w:basedOn w:val="652"/>
    <w:next w:val="652"/>
    <w:uiPriority w:val="0"/>
    <w:semiHidden/>
    <w:pPr>
      <w:ind w:left="1680"/>
      <w:jc w:val="left"/>
    </w:pPr>
  </w:style>
  <w:style w:type="paragraph" w:styleId="897" w:customStyle="1">
    <w:name w:val="正文文本 21"/>
    <w:basedOn w:val="652"/>
    <w:link w:val="898"/>
    <w:uiPriority w:val="0"/>
    <w:pPr>
      <w:jc w:val="center"/>
      <w:widowControl/>
    </w:pPr>
    <w:rPr>
      <w:rFonts w:ascii="楷体_GB2312" w:eastAsia="楷体_GB2312"/>
      <w:sz w:val="28"/>
      <w:szCs w:val="28"/>
    </w:rPr>
  </w:style>
  <w:style w:type="character" w:styleId="898" w:customStyle="1">
    <w:name w:val="正文文本 2 Char"/>
    <w:link w:val="897"/>
    <w:uiPriority w:val="0"/>
    <w:rPr>
      <w:rFonts w:ascii="楷体_GB2312" w:hAnsi="Times New Roman" w:eastAsia="楷体_GB2312" w:cs="Times New Roman"/>
      <w:sz w:val="28"/>
      <w:szCs w:val="28"/>
    </w:rPr>
  </w:style>
  <w:style w:type="paragraph" w:styleId="899" w:customStyle="1">
    <w:name w:val="普通(网站)1"/>
    <w:basedOn w:val="652"/>
    <w:uiPriority w:val="99"/>
    <w:pPr>
      <w:jc w:val="left"/>
      <w:spacing w:before="100" w:beforeAutospacing="1" w:after="100" w:afterAutospacing="1"/>
      <w:widowControl/>
    </w:pPr>
    <w:rPr>
      <w:rFonts w:ascii="宋体" w:hAnsi="宋体" w:cs="宋体"/>
      <w:sz w:val="24"/>
      <w:szCs w:val="24"/>
    </w:rPr>
  </w:style>
  <w:style w:type="paragraph" w:styleId="900" w:customStyle="1">
    <w:name w:val="索引 11"/>
    <w:basedOn w:val="652"/>
    <w:next w:val="652"/>
    <w:uiPriority w:val="0"/>
    <w:semiHidden/>
    <w:pPr>
      <w:spacing w:line="240" w:lineRule="atLeast"/>
    </w:pPr>
    <w:rPr>
      <w:b/>
      <w:bCs/>
    </w:rPr>
  </w:style>
  <w:style w:type="paragraph" w:styleId="901" w:customStyle="1">
    <w:name w:val="批注主题1"/>
    <w:basedOn w:val="864"/>
    <w:next w:val="864"/>
    <w:link w:val="902"/>
    <w:uiPriority w:val="0"/>
    <w:semiHidden/>
    <w:rPr>
      <w:b/>
      <w:bCs/>
    </w:rPr>
  </w:style>
  <w:style w:type="character" w:styleId="902" w:customStyle="1">
    <w:name w:val="批注主题 Char"/>
    <w:link w:val="901"/>
    <w:uiPriority w:val="0"/>
    <w:semiHidden/>
    <w:rPr>
      <w:rFonts w:ascii="Times New Roman" w:hAnsi="Times New Roman" w:eastAsia="宋体" w:cs="Times New Roman"/>
      <w:b/>
      <w:bCs/>
      <w:szCs w:val="21"/>
    </w:rPr>
  </w:style>
  <w:style w:type="paragraph" w:styleId="903" w:customStyle="1">
    <w:name w:val="正文首行缩进1"/>
    <w:basedOn w:val="652"/>
    <w:link w:val="904"/>
    <w:uiPriority w:val="0"/>
    <w:pPr>
      <w:ind w:firstLine="200"/>
      <w:spacing w:line="360" w:lineRule="auto"/>
    </w:pPr>
    <w:rPr>
      <w:rFonts w:ascii="仿宋_GB2312" w:eastAsia="仿宋_GB2312"/>
      <w:sz w:val="30"/>
      <w:szCs w:val="30"/>
    </w:rPr>
  </w:style>
  <w:style w:type="character" w:styleId="904" w:customStyle="1">
    <w:name w:val="正文首行缩进 Char"/>
    <w:link w:val="903"/>
    <w:uiPriority w:val="0"/>
    <w:rPr>
      <w:rFonts w:ascii="仿宋_GB2312" w:hAnsi="Times New Roman" w:eastAsia="仿宋_GB2312" w:cs="Times New Roman"/>
      <w:sz w:val="30"/>
      <w:szCs w:val="30"/>
    </w:rPr>
  </w:style>
  <w:style w:type="paragraph" w:styleId="905" w:customStyle="1">
    <w:name w:val="正文首行缩进 21"/>
    <w:basedOn w:val="870"/>
    <w:link w:val="906"/>
    <w:uiPriority w:val="0"/>
    <w:pPr>
      <w:ind w:firstLine="420"/>
      <w:spacing w:line="360" w:lineRule="auto"/>
    </w:pPr>
    <w:rPr>
      <w:rFonts w:ascii="宋体" w:hAnsi="宋体" w:eastAsia="宋体"/>
      <w:sz w:val="21"/>
      <w:szCs w:val="20"/>
    </w:rPr>
  </w:style>
  <w:style w:type="character" w:styleId="906" w:customStyle="1">
    <w:name w:val="正文首行缩进 2 Char"/>
    <w:link w:val="905"/>
    <w:uiPriority w:val="0"/>
    <w:rPr>
      <w:rFonts w:ascii="宋体" w:hAnsi="宋体" w:eastAsia="宋体" w:cs="Times New Roman"/>
      <w:sz w:val="32"/>
      <w:szCs w:val="20"/>
    </w:rPr>
  </w:style>
  <w:style w:type="table" w:styleId="907" w:customStyle="1">
    <w:name w:val="网格型1"/>
    <w:basedOn w:val="849"/>
    <w:uiPriority w:val="0"/>
    <w:pPr>
      <w:jc w:val="both"/>
      <w:widowControl w:val="off"/>
    </w:pPr>
    <w:tblPr/>
  </w:style>
  <w:style w:type="character" w:styleId="908" w:customStyle="1">
    <w:name w:val="要点1"/>
    <w:uiPriority w:val="0"/>
    <w:qFormat/>
    <w:rPr>
      <w:b/>
      <w:bCs/>
    </w:rPr>
  </w:style>
  <w:style w:type="character" w:styleId="909" w:customStyle="1">
    <w:name w:val="页码1"/>
    <w:uiPriority w:val="0"/>
  </w:style>
  <w:style w:type="character" w:styleId="910" w:customStyle="1">
    <w:name w:val="访问过的超链接1"/>
    <w:uiPriority w:val="0"/>
    <w:rPr>
      <w:color w:val="800080"/>
      <w:u w:val="single"/>
    </w:rPr>
  </w:style>
  <w:style w:type="character" w:styleId="911" w:customStyle="1">
    <w:name w:val="超链接1"/>
    <w:uiPriority w:val="0"/>
    <w:rPr>
      <w:color w:val="0000ff"/>
      <w:u w:val="single"/>
    </w:rPr>
  </w:style>
  <w:style w:type="character" w:styleId="912" w:customStyle="1">
    <w:name w:val="批注引用1"/>
    <w:uiPriority w:val="0"/>
    <w:semiHidden/>
    <w:rPr>
      <w:sz w:val="21"/>
      <w:szCs w:val="21"/>
    </w:rPr>
  </w:style>
  <w:style w:type="character" w:styleId="913" w:customStyle="1">
    <w:name w:val="font5 Char"/>
    <w:uiPriority w:val="0"/>
    <w:rPr>
      <w:rFonts w:ascii="宋体" w:hAnsi="宋体" w:eastAsia="宋体"/>
      <w:sz w:val="28"/>
      <w:szCs w:val="28"/>
      <w:lang w:val="en-US" w:eastAsia="zh-CN" w:bidi="ar-SA"/>
    </w:rPr>
  </w:style>
  <w:style w:type="character" w:styleId="914" w:customStyle="1">
    <w:name w:val="二级目录 Char"/>
    <w:link w:val="915"/>
    <w:uiPriority w:val="0"/>
    <w:rPr>
      <w:b/>
      <w:sz w:val="30"/>
      <w:szCs w:val="28"/>
    </w:rPr>
  </w:style>
  <w:style w:type="paragraph" w:styleId="915" w:customStyle="1">
    <w:name w:val="二级目录"/>
    <w:next w:val="652"/>
    <w:link w:val="914"/>
    <w:uiPriority w:val="0"/>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16" w:customStyle="1">
    <w:name w:val="列出段落 Char"/>
    <w:link w:val="917"/>
    <w:uiPriority w:val="0"/>
    <w:rPr>
      <w:rFonts w:ascii="Calibri" w:hAnsi="Calibri"/>
      <w:sz w:val="24"/>
      <w:szCs w:val="24"/>
      <w:lang w:eastAsia="en-US" w:bidi="en-US"/>
    </w:rPr>
  </w:style>
  <w:style w:type="paragraph" w:styleId="917" w:customStyle="1">
    <w:name w:val="列出段落1"/>
    <w:basedOn w:val="652"/>
    <w:link w:val="916"/>
    <w:uiPriority w:val="0"/>
    <w:qFormat/>
    <w:pPr>
      <w:contextualSpacing/>
      <w:ind w:left="720"/>
      <w:jc w:val="left"/>
      <w:widowControl/>
    </w:pPr>
    <w:rPr>
      <w:rFonts w:ascii="Calibri" w:hAnsi="Calibri"/>
      <w:sz w:val="24"/>
      <w:szCs w:val="24"/>
      <w:lang w:eastAsia="en-US" w:bidi="en-US"/>
    </w:rPr>
  </w:style>
  <w:style w:type="paragraph" w:styleId="918" w:customStyle="1">
    <w:name w:val="Body Text(ch)"/>
    <w:basedOn w:val="652"/>
    <w:next w:val="868"/>
    <w:uiPriority w:val="0"/>
    <w:pPr>
      <w:spacing w:after="120"/>
    </w:pPr>
    <w:rPr>
      <w:rFonts w:ascii="宋体" w:hAnsi="Arial"/>
      <w:bCs/>
      <w:iCs/>
      <w:szCs w:val="24"/>
    </w:rPr>
  </w:style>
  <w:style w:type="paragraph" w:styleId="919" w:customStyle="1">
    <w:name w:val="xl27"/>
    <w:basedOn w:val="65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0" w:customStyle="1">
    <w:name w:val="xl26"/>
    <w:basedOn w:val="65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1" w:customStyle="1">
    <w:name w:val="Char"/>
    <w:basedOn w:val="652"/>
    <w:uiPriority w:val="0"/>
    <w:pPr>
      <w:ind w:firstLine="200"/>
      <w:tabs>
        <w:tab w:val="left" w:pos="360" w:leader="none"/>
      </w:tabs>
    </w:pPr>
    <w:rPr>
      <w:sz w:val="28"/>
      <w:szCs w:val="30"/>
    </w:rPr>
  </w:style>
  <w:style w:type="paragraph" w:styleId="922" w:customStyle="1">
    <w:name w:val="Char1"/>
    <w:basedOn w:val="862"/>
    <w:uiPriority w:val="0"/>
    <w:rPr>
      <w:rFonts w:ascii="Tahoma" w:hAnsi="Tahoma"/>
      <w:sz w:val="24"/>
      <w:szCs w:val="24"/>
    </w:rPr>
  </w:style>
  <w:style w:type="paragraph" w:styleId="923"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924" w:customStyle="1">
    <w:name w:val="table_lines"/>
    <w:basedOn w:val="652"/>
    <w:uiPriority w:val="0"/>
    <w:pPr>
      <w:jc w:val="left"/>
      <w:widowControl/>
    </w:pPr>
    <w:rPr>
      <w:sz w:val="20"/>
      <w:szCs w:val="20"/>
      <w:lang w:val="de-DE" w:eastAsia="de-DE"/>
    </w:rPr>
  </w:style>
  <w:style w:type="paragraph" w:styleId="925"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26" w:customStyle="1">
    <w:name w:val="font7"/>
    <w:basedOn w:val="652"/>
    <w:uiPriority w:val="0"/>
    <w:pPr>
      <w:jc w:val="left"/>
      <w:spacing w:before="100" w:beforeAutospacing="1" w:after="100" w:afterAutospacing="1"/>
      <w:widowControl/>
    </w:pPr>
    <w:rPr>
      <w:rFonts w:hint="eastAsia" w:ascii="宋体" w:hAnsi="宋体"/>
      <w:sz w:val="18"/>
      <w:szCs w:val="18"/>
    </w:rPr>
  </w:style>
  <w:style w:type="paragraph" w:styleId="927" w:customStyle="1">
    <w:name w:val="Char Char Char Char"/>
    <w:basedOn w:val="862"/>
    <w:uiPriority w:val="0"/>
    <w:pPr>
      <w:spacing w:line="360" w:lineRule="auto"/>
    </w:pPr>
    <w:rPr>
      <w:rFonts w:ascii="Tahoma" w:hAnsi="Tahoma"/>
      <w:sz w:val="24"/>
      <w:szCs w:val="24"/>
    </w:rPr>
  </w:style>
  <w:style w:type="paragraph" w:styleId="928" w:customStyle="1">
    <w:name w:val="列出段落2"/>
    <w:basedOn w:val="652"/>
    <w:uiPriority w:val="0"/>
    <w:qFormat/>
    <w:pPr>
      <w:contextualSpacing/>
      <w:ind w:left="720"/>
      <w:jc w:val="left"/>
      <w:widowControl/>
    </w:pPr>
    <w:rPr>
      <w:rFonts w:ascii="Calibri" w:hAnsi="Calibri"/>
      <w:sz w:val="24"/>
      <w:szCs w:val="24"/>
      <w:lang w:eastAsia="en-US" w:bidi="en-US"/>
    </w:rPr>
  </w:style>
  <w:style w:type="paragraph" w:styleId="929" w:customStyle="1">
    <w:name w:val="4"/>
    <w:basedOn w:val="652"/>
    <w:next w:val="892"/>
    <w:uiPriority w:val="0"/>
    <w:pPr>
      <w:ind w:firstLine="420"/>
      <w:spacing w:line="360" w:lineRule="auto"/>
    </w:pPr>
    <w:rPr>
      <w:color w:val="ff0000"/>
      <w:sz w:val="24"/>
      <w:szCs w:val="24"/>
    </w:rPr>
  </w:style>
  <w:style w:type="paragraph" w:styleId="930" w:customStyle="1">
    <w:name w:val="普通 (Web)"/>
    <w:basedOn w:val="652"/>
    <w:uiPriority w:val="0"/>
    <w:pPr>
      <w:jc w:val="left"/>
      <w:spacing w:before="100" w:beforeAutospacing="1" w:after="100" w:afterAutospacing="1"/>
      <w:widowControl/>
    </w:pPr>
    <w:rPr>
      <w:rFonts w:ascii="宋体" w:hAnsi="宋体"/>
      <w:sz w:val="24"/>
      <w:szCs w:val="24"/>
    </w:rPr>
  </w:style>
  <w:style w:type="paragraph" w:styleId="931" w:customStyle="1">
    <w:name w:val="Char Char Char Char Char Char Char Char Char Char"/>
    <w:basedOn w:val="652"/>
    <w:uiPriority w:val="0"/>
    <w:pPr>
      <w:spacing w:line="360" w:lineRule="auto"/>
    </w:pPr>
    <w:rPr>
      <w:sz w:val="24"/>
      <w:szCs w:val="20"/>
    </w:rPr>
  </w:style>
  <w:style w:type="paragraph" w:styleId="932" w:customStyle="1">
    <w:name w:val="样式1"/>
    <w:basedOn w:val="652"/>
    <w:uiPriority w:val="0"/>
    <w:pPr>
      <w:numPr>
        <w:ilvl w:val="0"/>
        <w:numId w:val="3"/>
      </w:numPr>
    </w:pPr>
    <w:rPr>
      <w:rFonts w:ascii="宋体" w:hAnsi="宋体"/>
    </w:rPr>
  </w:style>
  <w:style w:type="paragraph" w:styleId="933" w:customStyle="1">
    <w:name w:val="font6"/>
    <w:basedOn w:val="652"/>
    <w:uiPriority w:val="0"/>
    <w:pPr>
      <w:jc w:val="left"/>
      <w:spacing w:before="100" w:beforeAutospacing="1" w:after="100" w:afterAutospacing="1"/>
      <w:widowControl/>
    </w:pPr>
    <w:rPr>
      <w:rFonts w:hint="eastAsia" w:ascii="宋体" w:hAnsi="宋体"/>
      <w:sz w:val="28"/>
      <w:szCs w:val="28"/>
      <w:u w:val="single"/>
    </w:rPr>
  </w:style>
  <w:style w:type="paragraph" w:styleId="934" w:customStyle="1">
    <w:name w:val="xl25"/>
    <w:basedOn w:val="65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5" w:customStyle="1">
    <w:name w:val="图标"/>
    <w:basedOn w:val="652"/>
    <w:next w:val="65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6" w:customStyle="1">
    <w:name w:val="标题3"/>
    <w:basedOn w:val="652"/>
    <w:next w:val="652"/>
    <w:uiPriority w:val="0"/>
    <w:pPr>
      <w:ind w:firstLine="624"/>
      <w:spacing w:line="590" w:lineRule="atLeast"/>
    </w:pPr>
    <w:rPr>
      <w:rFonts w:ascii="方正黑体_GBK" w:eastAsia="方正黑体_GBK"/>
      <w:sz w:val="32"/>
      <w:szCs w:val="32"/>
    </w:rPr>
  </w:style>
  <w:style w:type="paragraph" w:styleId="937" w:customStyle="1">
    <w:name w:val="xl24"/>
    <w:basedOn w:val="65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8" w:customStyle="1">
    <w:name w:val="xl29"/>
    <w:basedOn w:val="65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9" w:customStyle="1">
    <w:name w:val="Char Char Char Char Char Char Char Char"/>
    <w:basedOn w:val="652"/>
    <w:uiPriority w:val="0"/>
    <w:pPr>
      <w:jc w:val="left"/>
      <w:spacing w:after="160" w:line="240" w:lineRule="exact"/>
      <w:widowControl/>
    </w:pPr>
    <w:rPr>
      <w:rFonts w:ascii="Verdana" w:hAnsi="Verdana"/>
      <w:sz w:val="20"/>
      <w:szCs w:val="20"/>
      <w:lang w:eastAsia="en-US"/>
    </w:rPr>
  </w:style>
  <w:style w:type="paragraph" w:styleId="940" w:customStyle="1">
    <w:name w:val="xl28"/>
    <w:basedOn w:val="65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1" w:customStyle="1">
    <w:name w:val="Char Char Char Char Char Char Char Char1"/>
    <w:basedOn w:val="652"/>
    <w:uiPriority w:val="0"/>
    <w:pPr>
      <w:jc w:val="left"/>
      <w:spacing w:after="160" w:line="240" w:lineRule="exact"/>
      <w:widowControl/>
    </w:pPr>
    <w:rPr>
      <w:rFonts w:ascii="Verdana" w:hAnsi="Verdana"/>
      <w:sz w:val="20"/>
      <w:szCs w:val="20"/>
      <w:lang w:eastAsia="en-US"/>
    </w:rPr>
  </w:style>
  <w:style w:type="paragraph" w:styleId="942" w:customStyle="1">
    <w:name w:val="xl30"/>
    <w:basedOn w:val="652"/>
    <w:uiPriority w:val="0"/>
    <w:pPr>
      <w:jc w:val="center"/>
      <w:spacing w:before="100" w:beforeAutospacing="1" w:after="100" w:afterAutospacing="1"/>
      <w:widowControl/>
    </w:pPr>
    <w:rPr>
      <w:rFonts w:ascii="宋体" w:hAnsi="宋体"/>
      <w:b/>
      <w:bCs/>
      <w:sz w:val="36"/>
      <w:szCs w:val="36"/>
    </w:rPr>
  </w:style>
  <w:style w:type="paragraph" w:styleId="943" w:customStyle="1">
    <w:name w:val="Char Char Char Char1"/>
    <w:basedOn w:val="862"/>
    <w:uiPriority w:val="0"/>
    <w:pPr>
      <w:spacing w:line="360" w:lineRule="auto"/>
    </w:pPr>
    <w:rPr>
      <w:rFonts w:ascii="Tahoma" w:hAnsi="Tahoma"/>
      <w:sz w:val="24"/>
      <w:szCs w:val="24"/>
    </w:rPr>
  </w:style>
  <w:style w:type="paragraph" w:styleId="944" w:customStyle="1">
    <w:name w:val="table_1stline"/>
    <w:basedOn w:val="652"/>
    <w:uiPriority w:val="0"/>
    <w:pPr>
      <w:jc w:val="left"/>
      <w:spacing w:before="120"/>
      <w:widowControl/>
    </w:pPr>
    <w:rPr>
      <w:bCs/>
      <w:sz w:val="20"/>
      <w:szCs w:val="20"/>
      <w:lang w:val="de-DE" w:eastAsia="de-DE"/>
    </w:rPr>
  </w:style>
  <w:style w:type="paragraph" w:styleId="945" w:customStyle="1">
    <w:name w:val="font5"/>
    <w:basedOn w:val="652"/>
    <w:uiPriority w:val="0"/>
    <w:pPr>
      <w:jc w:val="left"/>
      <w:spacing w:before="100" w:beforeAutospacing="1" w:after="100" w:afterAutospacing="1"/>
      <w:widowControl/>
    </w:pPr>
    <w:rPr>
      <w:rFonts w:hint="eastAsia" w:ascii="宋体" w:hAnsi="宋体"/>
      <w:sz w:val="28"/>
      <w:szCs w:val="28"/>
    </w:rPr>
  </w:style>
  <w:style w:type="paragraph" w:styleId="946" w:customStyle="1">
    <w:name w:val="标题1"/>
    <w:basedOn w:val="652"/>
    <w:next w:val="65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47" w:customStyle="1">
    <w:name w:val="修订1"/>
    <w:uiPriority w:val="99"/>
    <w:semiHidden/>
    <w:rPr>
      <w:rFonts w:ascii="Times New Roman" w:hAnsi="Times New Roman" w:eastAsia="宋体" w:cs="Times New Roman"/>
      <w:sz w:val="21"/>
      <w:szCs w:val="21"/>
      <w:lang w:val="en-US" w:eastAsia="zh-CN" w:bidi="ar-SA"/>
    </w:rPr>
  </w:style>
  <w:style w:type="paragraph" w:styleId="94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949" w:customStyle="1">
    <w:name w:val="批注框文本 字符"/>
    <w:basedOn w:val="662"/>
    <w:link w:val="673"/>
    <w:uiPriority w:val="99"/>
    <w:semiHidden/>
    <w:rPr>
      <w:rFonts w:ascii="Times New Roman" w:hAnsi="Times New Roman"/>
      <w:sz w:val="18"/>
      <w:szCs w:val="18"/>
    </w:rPr>
  </w:style>
  <w:style w:type="character" w:styleId="950" w:customStyle="1">
    <w:name w:val="纯文本 字符"/>
    <w:basedOn w:val="662"/>
    <w:link w:val="670"/>
    <w:uiPriority w:val="99"/>
    <w:semiHidden/>
    <w:rPr>
      <w:rFonts w:ascii="宋体" w:hAnsi="Courier New" w:cs="Courier New"/>
      <w:sz w:val="21"/>
      <w:szCs w:val="21"/>
    </w:rPr>
  </w:style>
  <w:style w:type="character" w:styleId="951" w:customStyle="1">
    <w:name w:val="批注文字 字符"/>
    <w:basedOn w:val="662"/>
    <w:link w:val="665"/>
    <w:uiPriority w:val="99"/>
    <w:semiHidden/>
    <w:rPr>
      <w:sz w:val="21"/>
      <w:szCs w:val="21"/>
    </w:rPr>
  </w:style>
  <w:style w:type="character" w:styleId="952" w:customStyle="1">
    <w:name w:val="批注主题 字符"/>
    <w:basedOn w:val="951"/>
    <w:link w:val="664"/>
    <w:uiPriority w:val="99"/>
    <w:semiHidden/>
    <w:rPr>
      <w:b/>
      <w:bCs/>
      <w:sz w:val="21"/>
      <w:szCs w:val="21"/>
    </w:rPr>
  </w:style>
  <w:style w:type="numbering" w:styleId="96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29192272-D0E7-4008-91DE-57FFFD1F91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马樱</cp:lastModifiedBy>
  <cp:revision>6</cp:revision>
  <dcterms:created xsi:type="dcterms:W3CDTF">2025-10-21T08:50:00Z</dcterms:created>
  <dcterms:modified xsi:type="dcterms:W3CDTF">2025-10-28T07:27:27Z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2052-10.8.2.6543</vt:lpwstr>
  </property>
</Properties>
</file>